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51" w:rsidRDefault="006F7CA8" w:rsidP="001262C3">
      <w:pPr>
        <w:jc w:val="center"/>
        <w:rPr>
          <w:b/>
          <w:sz w:val="28"/>
          <w:szCs w:val="28"/>
        </w:rPr>
      </w:pPr>
      <w:r>
        <w:rPr>
          <w:b/>
          <w:sz w:val="28"/>
          <w:szCs w:val="28"/>
        </w:rPr>
        <w:t>Connecticut State Colleges &amp; Universities: Building a System</w:t>
      </w:r>
    </w:p>
    <w:p w:rsidR="001262C3" w:rsidRPr="001262C3" w:rsidRDefault="001262C3" w:rsidP="001262C3">
      <w:pPr>
        <w:jc w:val="center"/>
        <w:rPr>
          <w:b/>
          <w:sz w:val="28"/>
          <w:szCs w:val="28"/>
        </w:rPr>
      </w:pPr>
      <w:r>
        <w:rPr>
          <w:b/>
          <w:sz w:val="28"/>
          <w:szCs w:val="28"/>
        </w:rPr>
        <w:t xml:space="preserve"> </w:t>
      </w:r>
      <w:r w:rsidR="00B2196B">
        <w:rPr>
          <w:b/>
          <w:sz w:val="28"/>
          <w:szCs w:val="28"/>
        </w:rPr>
        <w:t>Excel CT</w:t>
      </w:r>
      <w:r>
        <w:rPr>
          <w:b/>
          <w:sz w:val="28"/>
          <w:szCs w:val="28"/>
        </w:rPr>
        <w:t xml:space="preserve">: November </w:t>
      </w:r>
      <w:r w:rsidR="00674DAC">
        <w:rPr>
          <w:b/>
          <w:sz w:val="28"/>
          <w:szCs w:val="28"/>
        </w:rPr>
        <w:t>12</w:t>
      </w:r>
      <w:r>
        <w:rPr>
          <w:b/>
          <w:sz w:val="28"/>
          <w:szCs w:val="28"/>
        </w:rPr>
        <w:t>, 2013</w:t>
      </w:r>
    </w:p>
    <w:p w:rsidR="00EE58A9" w:rsidRPr="002846BD" w:rsidRDefault="002846BD">
      <w:pPr>
        <w:rPr>
          <w:b/>
        </w:rPr>
      </w:pPr>
      <w:r w:rsidRPr="002846BD">
        <w:rPr>
          <w:b/>
        </w:rPr>
        <w:t>Executive Summary</w:t>
      </w:r>
    </w:p>
    <w:p w:rsidR="003335DA" w:rsidRDefault="00EE58A9" w:rsidP="00C87BDB">
      <w:pPr>
        <w:jc w:val="both"/>
      </w:pPr>
      <w:r>
        <w:t xml:space="preserve">The Board of Regents </w:t>
      </w:r>
      <w:r w:rsidR="00794151">
        <w:t xml:space="preserve">is </w:t>
      </w:r>
      <w:r>
        <w:t>developing a plan to realize the vision and mission for its seventeen state colle</w:t>
      </w:r>
      <w:r w:rsidR="006F1F14">
        <w:t>ges and universities</w:t>
      </w:r>
      <w:r w:rsidR="006F7CA8">
        <w:t xml:space="preserve">.  </w:t>
      </w:r>
      <w:r w:rsidR="00687637">
        <w:t>The goal is to</w:t>
      </w:r>
      <w:r w:rsidR="003335DA">
        <w:t xml:space="preserve"> create a system-wide delivery of programs</w:t>
      </w:r>
      <w:r w:rsidR="00687637">
        <w:t xml:space="preserve"> </w:t>
      </w:r>
      <w:r w:rsidR="003335DA">
        <w:t xml:space="preserve">to </w:t>
      </w:r>
      <w:r w:rsidR="00687637">
        <w:t>improve the quality of our institutions,</w:t>
      </w:r>
      <w:r w:rsidR="003335DA">
        <w:t xml:space="preserve"> provide for greater student success,</w:t>
      </w:r>
      <w:r w:rsidR="00687637">
        <w:t xml:space="preserve"> and as such, improve the quality of life in our state. </w:t>
      </w:r>
    </w:p>
    <w:p w:rsidR="001262C3" w:rsidRDefault="00687637" w:rsidP="00C87BDB">
      <w:pPr>
        <w:jc w:val="both"/>
      </w:pPr>
      <w:r>
        <w:t xml:space="preserve"> Information </w:t>
      </w:r>
      <w:r w:rsidR="00EE58A9">
        <w:t xml:space="preserve">about our schools, business community, and students is being </w:t>
      </w:r>
      <w:r>
        <w:t>gathered,</w:t>
      </w:r>
      <w:r w:rsidR="006F7CA8">
        <w:t xml:space="preserve">  validated and  analyzed. We are</w:t>
      </w:r>
      <w:r w:rsidR="00EE58A9">
        <w:t xml:space="preserve"> de</w:t>
      </w:r>
      <w:r w:rsidR="006F7CA8">
        <w:t>epening</w:t>
      </w:r>
      <w:r w:rsidR="00F33B40">
        <w:t xml:space="preserve"> </w:t>
      </w:r>
      <w:r w:rsidR="00EE58A9">
        <w:t xml:space="preserve"> insight</w:t>
      </w:r>
      <w:r w:rsidR="00F60BAE">
        <w:t>s</w:t>
      </w:r>
      <w:r w:rsidR="00EE58A9">
        <w:t xml:space="preserve"> into our financial condition, current sources and uses of funds, and </w:t>
      </w:r>
      <w:r w:rsidR="002846BD">
        <w:t>strengthening</w:t>
      </w:r>
      <w:r w:rsidR="00EE58A9">
        <w:t xml:space="preserve"> partnerships with governmental a</w:t>
      </w:r>
      <w:r w:rsidR="006F7CA8">
        <w:t>gencies,</w:t>
      </w:r>
      <w:r w:rsidR="00EE58A9">
        <w:t xml:space="preserve"> legislators and the Governor’s office. </w:t>
      </w:r>
      <w:r w:rsidR="002846BD">
        <w:t xml:space="preserve"> To accelerate and affirm our recommendation</w:t>
      </w:r>
      <w:r w:rsidR="00F60BAE">
        <w:t>s</w:t>
      </w:r>
      <w:r w:rsidR="002846BD">
        <w:t xml:space="preserve"> for investments and organizational alignment, </w:t>
      </w:r>
      <w:r w:rsidR="00F60BAE">
        <w:t xml:space="preserve">we are </w:t>
      </w:r>
      <w:r>
        <w:t>pursuing best practices for both the strategy</w:t>
      </w:r>
      <w:r w:rsidR="002846BD">
        <w:t xml:space="preserve"> </w:t>
      </w:r>
      <w:r w:rsidR="00F60BAE">
        <w:t>and approaches to optimize</w:t>
      </w:r>
      <w:r w:rsidR="006F7CA8">
        <w:t xml:space="preserve"> Connecticut’s system of colleges and universities</w:t>
      </w:r>
      <w:r w:rsidR="001262C3">
        <w:t xml:space="preserve">.  </w:t>
      </w:r>
    </w:p>
    <w:p w:rsidR="00AC59F5" w:rsidRDefault="00687637" w:rsidP="00C87BDB">
      <w:pPr>
        <w:jc w:val="both"/>
      </w:pPr>
      <w:r>
        <w:t xml:space="preserve">Our timeline currently anticipates the delivery of progressively more detailed plans and investment discussions throughout the upcoming legislative session. </w:t>
      </w:r>
      <w:r w:rsidR="006F7CA8">
        <w:t xml:space="preserve"> </w:t>
      </w:r>
    </w:p>
    <w:p w:rsidR="00EE58A9" w:rsidRDefault="002846BD" w:rsidP="00C87BDB">
      <w:pPr>
        <w:jc w:val="both"/>
        <w:rPr>
          <w:b/>
        </w:rPr>
      </w:pPr>
      <w:r w:rsidRPr="002846BD">
        <w:rPr>
          <w:b/>
        </w:rPr>
        <w:t>Vision</w:t>
      </w:r>
      <w:r w:rsidR="001262C3">
        <w:rPr>
          <w:b/>
        </w:rPr>
        <w:t>,</w:t>
      </w:r>
      <w:r w:rsidRPr="002846BD">
        <w:rPr>
          <w:b/>
        </w:rPr>
        <w:t xml:space="preserve"> Mission</w:t>
      </w:r>
      <w:r w:rsidR="001262C3">
        <w:rPr>
          <w:b/>
        </w:rPr>
        <w:t>, and Goals</w:t>
      </w:r>
    </w:p>
    <w:p w:rsidR="002846BD" w:rsidRDefault="002846BD" w:rsidP="00C87BDB">
      <w:pPr>
        <w:jc w:val="both"/>
      </w:pPr>
      <w:r>
        <w:t>Our Vision for Connecticut: A continually increasing share of Connecticut’s population will have a high quality post-secondary education that enables them to achieve their life and care</w:t>
      </w:r>
      <w:r w:rsidR="001262C3">
        <w:t>er goals and make Connecticut a</w:t>
      </w:r>
      <w:r>
        <w:t xml:space="preserve"> place of engage</w:t>
      </w:r>
      <w:r w:rsidR="001262C3">
        <w:t>d</w:t>
      </w:r>
      <w:r>
        <w:t xml:space="preserve">, globally competitive communities. </w:t>
      </w:r>
    </w:p>
    <w:p w:rsidR="001262C3" w:rsidRDefault="001262C3" w:rsidP="00C87BDB">
      <w:pPr>
        <w:jc w:val="both"/>
      </w:pPr>
      <w:r>
        <w:t>Our Mission:  T</w:t>
      </w:r>
      <w:r w:rsidR="00024FDD">
        <w:t>he Connecticut State College &amp;</w:t>
      </w:r>
      <w:r>
        <w:t xml:space="preserve"> Universities contribute to the creation of knowledge and the economic growth of the state of Connecticut by providing affordable, innovate and rigorous programs.  Our learning environments transform students and facilitate an ever increasing number of individuals to achieve their personal and career goals. </w:t>
      </w:r>
    </w:p>
    <w:p w:rsidR="001262C3" w:rsidRDefault="00024FDD" w:rsidP="00C87BDB">
      <w:pPr>
        <w:jc w:val="both"/>
      </w:pPr>
      <w:r>
        <w:t xml:space="preserve">The Strategic Plan for The Board of Regents </w:t>
      </w:r>
      <w:r w:rsidR="001262C3">
        <w:t>established five goals by which to measure the success of the vision and mission</w:t>
      </w:r>
      <w:r w:rsidR="00FB2915">
        <w:t xml:space="preserve">: </w:t>
      </w:r>
    </w:p>
    <w:p w:rsidR="00FB2915" w:rsidRDefault="00FB2915" w:rsidP="00C87BDB">
      <w:pPr>
        <w:jc w:val="both"/>
      </w:pPr>
      <w:r>
        <w:t xml:space="preserve"> 1.  A Successful First Year – Increase the number of students who successfully complete a first year of college.</w:t>
      </w:r>
    </w:p>
    <w:p w:rsidR="00FB2915" w:rsidRDefault="00FB2915" w:rsidP="00C87BDB">
      <w:pPr>
        <w:jc w:val="both"/>
      </w:pPr>
      <w:r>
        <w:t xml:space="preserve">2. Student Success – Graduate more students with the knowledge and skills to achieve their life and career goal. </w:t>
      </w:r>
    </w:p>
    <w:p w:rsidR="00FB2915" w:rsidRDefault="00FB2915" w:rsidP="00C87BDB">
      <w:pPr>
        <w:jc w:val="both"/>
      </w:pPr>
      <w:r>
        <w:t xml:space="preserve">3.  Affordability and Sustainability – Maximize </w:t>
      </w:r>
      <w:r w:rsidR="00CC389C">
        <w:t>access to higher education b</w:t>
      </w:r>
      <w:r>
        <w:t>y making attendance affordable and our institutions financially sustainable.</w:t>
      </w:r>
    </w:p>
    <w:p w:rsidR="00FB2915" w:rsidRDefault="00FB2915" w:rsidP="00C87BDB">
      <w:pPr>
        <w:jc w:val="both"/>
      </w:pPr>
      <w:r>
        <w:t xml:space="preserve">4. Innovation and Economic Growth – Create educational environments that cultivate innovation and prepare students for successful careers in a fast changing world. </w:t>
      </w:r>
    </w:p>
    <w:p w:rsidR="0089023B" w:rsidRDefault="0089023B">
      <w:r>
        <w:t xml:space="preserve">5.  Equity – Eliminate achievement disparities among different ethnic/racial, economic, and gender groups. </w:t>
      </w:r>
    </w:p>
    <w:p w:rsidR="00794151" w:rsidRDefault="00B2196B" w:rsidP="00794151">
      <w:pPr>
        <w:rPr>
          <w:b/>
        </w:rPr>
      </w:pPr>
      <w:r>
        <w:rPr>
          <w:b/>
        </w:rPr>
        <w:t>Excel CT: Capabilities and Planning Timeline</w:t>
      </w:r>
      <w:r w:rsidR="00794151" w:rsidRPr="00CC389C">
        <w:rPr>
          <w:b/>
        </w:rPr>
        <w:t xml:space="preserve"> </w:t>
      </w:r>
    </w:p>
    <w:tbl>
      <w:tblPr>
        <w:tblStyle w:val="TableGrid"/>
        <w:tblW w:w="0" w:type="auto"/>
        <w:tblLook w:val="04A0" w:firstRow="1" w:lastRow="0" w:firstColumn="1" w:lastColumn="0" w:noHBand="0" w:noVBand="1"/>
      </w:tblPr>
      <w:tblGrid>
        <w:gridCol w:w="7938"/>
        <w:gridCol w:w="3060"/>
      </w:tblGrid>
      <w:tr w:rsidR="00794151" w:rsidTr="00D66B14">
        <w:tc>
          <w:tcPr>
            <w:tcW w:w="7938" w:type="dxa"/>
            <w:shd w:val="clear" w:color="auto" w:fill="DAEEF3" w:themeFill="accent5" w:themeFillTint="33"/>
          </w:tcPr>
          <w:p w:rsidR="00794151" w:rsidRPr="00796CC5" w:rsidRDefault="00024FDD" w:rsidP="00EE1D7F">
            <w:pPr>
              <w:rPr>
                <w:b/>
                <w:i/>
              </w:rPr>
            </w:pPr>
            <w:r>
              <w:rPr>
                <w:b/>
                <w:i/>
              </w:rPr>
              <w:t>Initiatives</w:t>
            </w:r>
          </w:p>
        </w:tc>
        <w:tc>
          <w:tcPr>
            <w:tcW w:w="3060" w:type="dxa"/>
            <w:shd w:val="clear" w:color="auto" w:fill="DAEEF3" w:themeFill="accent5" w:themeFillTint="33"/>
          </w:tcPr>
          <w:p w:rsidR="00794151" w:rsidRPr="00796CC5" w:rsidRDefault="00794151" w:rsidP="00EE1D7F">
            <w:pPr>
              <w:rPr>
                <w:b/>
                <w:i/>
              </w:rPr>
            </w:pPr>
            <w:r>
              <w:rPr>
                <w:b/>
                <w:i/>
              </w:rPr>
              <w:t xml:space="preserve">Strategic </w:t>
            </w:r>
            <w:r w:rsidRPr="00796CC5">
              <w:rPr>
                <w:b/>
                <w:i/>
              </w:rPr>
              <w:t xml:space="preserve">Goals Supported </w:t>
            </w:r>
          </w:p>
        </w:tc>
      </w:tr>
      <w:tr w:rsidR="00024FDD" w:rsidTr="00D66B14">
        <w:tc>
          <w:tcPr>
            <w:tcW w:w="7938" w:type="dxa"/>
          </w:tcPr>
          <w:p w:rsidR="00024FDD" w:rsidRPr="00D66B14" w:rsidRDefault="00024FDD" w:rsidP="00024FDD">
            <w:pPr>
              <w:rPr>
                <w:b/>
              </w:rPr>
            </w:pPr>
            <w:r w:rsidRPr="00D66B14">
              <w:rPr>
                <w:b/>
              </w:rPr>
              <w:t>Student Services Coordination</w:t>
            </w:r>
          </w:p>
        </w:tc>
        <w:tc>
          <w:tcPr>
            <w:tcW w:w="3060" w:type="dxa"/>
          </w:tcPr>
          <w:p w:rsidR="00024FDD" w:rsidRDefault="00024FDD" w:rsidP="00EE1D7F"/>
        </w:tc>
      </w:tr>
      <w:tr w:rsidR="00794151" w:rsidTr="00D66B14">
        <w:tc>
          <w:tcPr>
            <w:tcW w:w="7938" w:type="dxa"/>
          </w:tcPr>
          <w:p w:rsidR="00794151" w:rsidRDefault="0012179C" w:rsidP="00024FDD">
            <w:pPr>
              <w:pStyle w:val="ListParagraph"/>
              <w:numPr>
                <w:ilvl w:val="0"/>
                <w:numId w:val="3"/>
              </w:numPr>
            </w:pPr>
            <w:r>
              <w:t>Integrate  admissions (</w:t>
            </w:r>
            <w:r w:rsidR="00794151">
              <w:t>application</w:t>
            </w:r>
            <w:r>
              <w:t>)</w:t>
            </w:r>
            <w:r w:rsidR="00794151">
              <w:t xml:space="preserve"> for all 17 schools</w:t>
            </w:r>
          </w:p>
        </w:tc>
        <w:tc>
          <w:tcPr>
            <w:tcW w:w="3060" w:type="dxa"/>
          </w:tcPr>
          <w:p w:rsidR="00794151" w:rsidRDefault="00794151" w:rsidP="00EE1D7F">
            <w:r>
              <w:t>1,3,5</w:t>
            </w:r>
          </w:p>
        </w:tc>
      </w:tr>
      <w:tr w:rsidR="00794151" w:rsidTr="00D66B14">
        <w:trPr>
          <w:trHeight w:val="278"/>
        </w:trPr>
        <w:tc>
          <w:tcPr>
            <w:tcW w:w="7938" w:type="dxa"/>
          </w:tcPr>
          <w:p w:rsidR="00794151" w:rsidRDefault="00794151" w:rsidP="00024FDD">
            <w:pPr>
              <w:pStyle w:val="ListParagraph"/>
              <w:numPr>
                <w:ilvl w:val="0"/>
                <w:numId w:val="3"/>
              </w:numPr>
            </w:pPr>
            <w:r>
              <w:t xml:space="preserve">Common registration and academic calendar </w:t>
            </w:r>
          </w:p>
        </w:tc>
        <w:tc>
          <w:tcPr>
            <w:tcW w:w="3060" w:type="dxa"/>
          </w:tcPr>
          <w:p w:rsidR="00794151" w:rsidRDefault="00794151" w:rsidP="00EE1D7F">
            <w:r>
              <w:t>1,3,5</w:t>
            </w:r>
          </w:p>
        </w:tc>
      </w:tr>
      <w:tr w:rsidR="008E68DD" w:rsidTr="00D66B14">
        <w:tc>
          <w:tcPr>
            <w:tcW w:w="7938" w:type="dxa"/>
          </w:tcPr>
          <w:p w:rsidR="008E68DD" w:rsidRDefault="008E68DD" w:rsidP="006254A7">
            <w:pPr>
              <w:pStyle w:val="ListParagraph"/>
              <w:numPr>
                <w:ilvl w:val="0"/>
                <w:numId w:val="3"/>
              </w:numPr>
            </w:pPr>
            <w:r>
              <w:t>Enable seamless transfer and articulation amongst 17 schools</w:t>
            </w:r>
          </w:p>
        </w:tc>
        <w:tc>
          <w:tcPr>
            <w:tcW w:w="3060" w:type="dxa"/>
          </w:tcPr>
          <w:p w:rsidR="008E68DD" w:rsidRDefault="008E68DD" w:rsidP="006254A7">
            <w:r>
              <w:t>1,2,3</w:t>
            </w:r>
          </w:p>
        </w:tc>
      </w:tr>
      <w:tr w:rsidR="008E68DD" w:rsidTr="00D66B14">
        <w:tc>
          <w:tcPr>
            <w:tcW w:w="7938" w:type="dxa"/>
          </w:tcPr>
          <w:p w:rsidR="008E68DD" w:rsidRDefault="008E68DD" w:rsidP="00563A7E">
            <w:pPr>
              <w:pStyle w:val="ListParagraph"/>
              <w:numPr>
                <w:ilvl w:val="0"/>
                <w:numId w:val="3"/>
              </w:numPr>
            </w:pPr>
            <w:r>
              <w:t>Streamline and improve school administrative/service areas</w:t>
            </w:r>
          </w:p>
        </w:tc>
        <w:tc>
          <w:tcPr>
            <w:tcW w:w="3060" w:type="dxa"/>
          </w:tcPr>
          <w:p w:rsidR="008E68DD" w:rsidRDefault="008E68DD" w:rsidP="00EE1D7F">
            <w:r>
              <w:t>1,2,3,5</w:t>
            </w:r>
          </w:p>
        </w:tc>
      </w:tr>
      <w:tr w:rsidR="00A03917" w:rsidTr="00D66B14">
        <w:tc>
          <w:tcPr>
            <w:tcW w:w="7938" w:type="dxa"/>
          </w:tcPr>
          <w:p w:rsidR="00A03917" w:rsidRDefault="00B81CF8" w:rsidP="00B81CF8">
            <w:pPr>
              <w:pStyle w:val="ListParagraph"/>
              <w:numPr>
                <w:ilvl w:val="0"/>
                <w:numId w:val="3"/>
              </w:numPr>
            </w:pPr>
            <w:r>
              <w:t xml:space="preserve">Institutionalize the Experiential Learning </w:t>
            </w:r>
            <w:r w:rsidR="00A03917">
              <w:t>program</w:t>
            </w:r>
            <w:r>
              <w:t xml:space="preserve"> (military, etc). </w:t>
            </w:r>
          </w:p>
        </w:tc>
        <w:tc>
          <w:tcPr>
            <w:tcW w:w="3060" w:type="dxa"/>
          </w:tcPr>
          <w:p w:rsidR="00A03917" w:rsidRDefault="00A03917" w:rsidP="006254A7">
            <w:r>
              <w:t>1,2,3,5</w:t>
            </w:r>
          </w:p>
        </w:tc>
      </w:tr>
      <w:tr w:rsidR="00A03917" w:rsidTr="00D66B14">
        <w:tc>
          <w:tcPr>
            <w:tcW w:w="7938" w:type="dxa"/>
          </w:tcPr>
          <w:p w:rsidR="00A03917" w:rsidRDefault="00A03917" w:rsidP="00A03917">
            <w:pPr>
              <w:pStyle w:val="ListParagraph"/>
              <w:numPr>
                <w:ilvl w:val="0"/>
                <w:numId w:val="3"/>
              </w:numPr>
            </w:pPr>
            <w:r>
              <w:t>Scale Transitions (Developmental Education) program</w:t>
            </w:r>
          </w:p>
        </w:tc>
        <w:tc>
          <w:tcPr>
            <w:tcW w:w="3060" w:type="dxa"/>
          </w:tcPr>
          <w:p w:rsidR="00A03917" w:rsidRDefault="00A03917" w:rsidP="006254A7">
            <w:r>
              <w:t>1,2,4,5</w:t>
            </w:r>
          </w:p>
        </w:tc>
      </w:tr>
      <w:tr w:rsidR="0012179C" w:rsidTr="00D66B14">
        <w:tc>
          <w:tcPr>
            <w:tcW w:w="7938" w:type="dxa"/>
          </w:tcPr>
          <w:p w:rsidR="0012179C" w:rsidRPr="0012179C" w:rsidRDefault="0012179C" w:rsidP="0012179C">
            <w:pPr>
              <w:pStyle w:val="ListParagraph"/>
              <w:numPr>
                <w:ilvl w:val="0"/>
                <w:numId w:val="3"/>
              </w:numPr>
              <w:rPr>
                <w:b/>
              </w:rPr>
            </w:pPr>
            <w:r>
              <w:t>Expand military/veteran support: recruiting, counseling, advising, centers</w:t>
            </w:r>
          </w:p>
        </w:tc>
        <w:tc>
          <w:tcPr>
            <w:tcW w:w="3060" w:type="dxa"/>
          </w:tcPr>
          <w:p w:rsidR="0012179C" w:rsidRDefault="0012179C" w:rsidP="006254A7">
            <w:r>
              <w:t>1,2,3,5</w:t>
            </w:r>
          </w:p>
        </w:tc>
      </w:tr>
      <w:tr w:rsidR="0082460D" w:rsidTr="00D66B14">
        <w:tc>
          <w:tcPr>
            <w:tcW w:w="7938" w:type="dxa"/>
          </w:tcPr>
          <w:p w:rsidR="0082460D" w:rsidRPr="0082460D" w:rsidRDefault="0082460D" w:rsidP="0082460D">
            <w:pPr>
              <w:pStyle w:val="ListParagraph"/>
              <w:numPr>
                <w:ilvl w:val="0"/>
                <w:numId w:val="3"/>
              </w:numPr>
              <w:rPr>
                <w:b/>
              </w:rPr>
            </w:pPr>
            <w:r>
              <w:t>Online orientation center</w:t>
            </w:r>
          </w:p>
        </w:tc>
        <w:tc>
          <w:tcPr>
            <w:tcW w:w="3060" w:type="dxa"/>
          </w:tcPr>
          <w:p w:rsidR="0082460D" w:rsidRDefault="0082460D" w:rsidP="006254A7">
            <w:r>
              <w:t xml:space="preserve">1, 5 </w:t>
            </w:r>
          </w:p>
        </w:tc>
      </w:tr>
      <w:tr w:rsidR="0082460D" w:rsidTr="00D66B14">
        <w:tc>
          <w:tcPr>
            <w:tcW w:w="7938" w:type="dxa"/>
          </w:tcPr>
          <w:p w:rsidR="0082460D" w:rsidRPr="0082460D" w:rsidRDefault="0082460D" w:rsidP="0082460D">
            <w:pPr>
              <w:pStyle w:val="ListParagraph"/>
              <w:numPr>
                <w:ilvl w:val="0"/>
                <w:numId w:val="3"/>
              </w:numPr>
              <w:rPr>
                <w:b/>
              </w:rPr>
            </w:pPr>
            <w:r>
              <w:t xml:space="preserve">Online curriculum support </w:t>
            </w:r>
          </w:p>
        </w:tc>
        <w:tc>
          <w:tcPr>
            <w:tcW w:w="3060" w:type="dxa"/>
          </w:tcPr>
          <w:p w:rsidR="0082460D" w:rsidRDefault="0082460D" w:rsidP="006254A7">
            <w:r>
              <w:t xml:space="preserve">1, 2, 5 </w:t>
            </w:r>
          </w:p>
        </w:tc>
      </w:tr>
      <w:tr w:rsidR="00A03917" w:rsidTr="00D66B14">
        <w:tc>
          <w:tcPr>
            <w:tcW w:w="7938" w:type="dxa"/>
          </w:tcPr>
          <w:p w:rsidR="00A03917" w:rsidRPr="00D66B14" w:rsidRDefault="00A03917" w:rsidP="00563A7E">
            <w:pPr>
              <w:rPr>
                <w:b/>
              </w:rPr>
            </w:pPr>
            <w:r w:rsidRPr="00D66B14">
              <w:rPr>
                <w:b/>
              </w:rPr>
              <w:t>Early College</w:t>
            </w:r>
          </w:p>
        </w:tc>
        <w:tc>
          <w:tcPr>
            <w:tcW w:w="3060" w:type="dxa"/>
          </w:tcPr>
          <w:p w:rsidR="00A03917" w:rsidRDefault="00A03917" w:rsidP="006254A7"/>
        </w:tc>
      </w:tr>
      <w:tr w:rsidR="00A03917" w:rsidTr="00D66B14">
        <w:tc>
          <w:tcPr>
            <w:tcW w:w="7938" w:type="dxa"/>
          </w:tcPr>
          <w:p w:rsidR="00A03917" w:rsidRDefault="00A03917" w:rsidP="00563A7E">
            <w:pPr>
              <w:pStyle w:val="ListParagraph"/>
              <w:numPr>
                <w:ilvl w:val="0"/>
                <w:numId w:val="3"/>
              </w:numPr>
            </w:pPr>
            <w:r>
              <w:t>Expand and strengthen Early College Programs</w:t>
            </w:r>
          </w:p>
        </w:tc>
        <w:tc>
          <w:tcPr>
            <w:tcW w:w="3060" w:type="dxa"/>
          </w:tcPr>
          <w:p w:rsidR="00A03917" w:rsidRDefault="00A03917" w:rsidP="00EE1D7F">
            <w:r>
              <w:t>1-5</w:t>
            </w:r>
          </w:p>
        </w:tc>
      </w:tr>
      <w:tr w:rsidR="00A03917" w:rsidTr="00D66B14">
        <w:tc>
          <w:tcPr>
            <w:tcW w:w="7938" w:type="dxa"/>
          </w:tcPr>
          <w:p w:rsidR="00A03917" w:rsidRPr="00D66B14" w:rsidRDefault="004E40EF" w:rsidP="004E40EF">
            <w:pPr>
              <w:rPr>
                <w:b/>
              </w:rPr>
            </w:pPr>
            <w:r w:rsidRPr="00D66B14">
              <w:rPr>
                <w:b/>
              </w:rPr>
              <w:t xml:space="preserve">Charter Oak </w:t>
            </w:r>
          </w:p>
        </w:tc>
        <w:tc>
          <w:tcPr>
            <w:tcW w:w="3060" w:type="dxa"/>
          </w:tcPr>
          <w:p w:rsidR="00A03917" w:rsidRDefault="00A03917" w:rsidP="00EE1D7F"/>
        </w:tc>
      </w:tr>
      <w:tr w:rsidR="00A03917" w:rsidTr="00D66B14">
        <w:tc>
          <w:tcPr>
            <w:tcW w:w="7938" w:type="dxa"/>
          </w:tcPr>
          <w:p w:rsidR="00A03917" w:rsidRDefault="00A03917" w:rsidP="008E68DD">
            <w:pPr>
              <w:pStyle w:val="ListParagraph"/>
              <w:numPr>
                <w:ilvl w:val="0"/>
                <w:numId w:val="3"/>
              </w:numPr>
            </w:pPr>
            <w:r>
              <w:t xml:space="preserve">Expand online </w:t>
            </w:r>
            <w:r w:rsidR="004E40EF">
              <w:t xml:space="preserve">education </w:t>
            </w:r>
            <w:r>
              <w:t>access and provide high quality programs</w:t>
            </w:r>
          </w:p>
        </w:tc>
        <w:tc>
          <w:tcPr>
            <w:tcW w:w="3060" w:type="dxa"/>
          </w:tcPr>
          <w:p w:rsidR="00A03917" w:rsidRDefault="00A03917" w:rsidP="00EE1D7F">
            <w:r>
              <w:t>1,2,3,5</w:t>
            </w:r>
          </w:p>
        </w:tc>
      </w:tr>
      <w:tr w:rsidR="00A03917" w:rsidTr="00D66B14">
        <w:tc>
          <w:tcPr>
            <w:tcW w:w="7938" w:type="dxa"/>
          </w:tcPr>
          <w:p w:rsidR="00A03917" w:rsidRDefault="004E40EF" w:rsidP="003335DA">
            <w:pPr>
              <w:pStyle w:val="ListParagraph"/>
              <w:numPr>
                <w:ilvl w:val="0"/>
                <w:numId w:val="3"/>
              </w:numPr>
            </w:pPr>
            <w:r>
              <w:t>Scale “Lifetime Experience” program – military and</w:t>
            </w:r>
            <w:r w:rsidR="003335DA">
              <w:t xml:space="preserve"> non-traditional </w:t>
            </w:r>
            <w:r>
              <w:t>demographic</w:t>
            </w:r>
          </w:p>
        </w:tc>
        <w:tc>
          <w:tcPr>
            <w:tcW w:w="3060" w:type="dxa"/>
          </w:tcPr>
          <w:p w:rsidR="00A03917" w:rsidRDefault="00BA3B1B" w:rsidP="00EE1D7F">
            <w:r>
              <w:t>1-5</w:t>
            </w:r>
          </w:p>
        </w:tc>
      </w:tr>
      <w:tr w:rsidR="00A03917" w:rsidTr="00D66B14">
        <w:tc>
          <w:tcPr>
            <w:tcW w:w="7938" w:type="dxa"/>
          </w:tcPr>
          <w:p w:rsidR="00A03917" w:rsidRPr="00D66B14" w:rsidRDefault="00A03917" w:rsidP="000130D4">
            <w:pPr>
              <w:rPr>
                <w:b/>
              </w:rPr>
            </w:pPr>
            <w:r>
              <w:t xml:space="preserve"> </w:t>
            </w:r>
            <w:r w:rsidRPr="00D66B14">
              <w:rPr>
                <w:b/>
              </w:rPr>
              <w:t xml:space="preserve">Centers of Excellence </w:t>
            </w:r>
          </w:p>
        </w:tc>
        <w:tc>
          <w:tcPr>
            <w:tcW w:w="3060" w:type="dxa"/>
          </w:tcPr>
          <w:p w:rsidR="00A03917" w:rsidRDefault="00A03917" w:rsidP="00EE1D7F">
            <w:r>
              <w:t>2,4</w:t>
            </w:r>
          </w:p>
        </w:tc>
      </w:tr>
      <w:tr w:rsidR="00A03917" w:rsidTr="00D66B14">
        <w:tc>
          <w:tcPr>
            <w:tcW w:w="7938" w:type="dxa"/>
          </w:tcPr>
          <w:p w:rsidR="00A03917" w:rsidRDefault="004E40EF" w:rsidP="004E40EF">
            <w:pPr>
              <w:pStyle w:val="ListParagraph"/>
              <w:numPr>
                <w:ilvl w:val="0"/>
                <w:numId w:val="3"/>
              </w:numPr>
            </w:pPr>
            <w:r>
              <w:t>Expand and deepen community college expertise with CT’s areas of job growth</w:t>
            </w:r>
          </w:p>
        </w:tc>
        <w:tc>
          <w:tcPr>
            <w:tcW w:w="3060" w:type="dxa"/>
          </w:tcPr>
          <w:p w:rsidR="00A03917" w:rsidRDefault="00BA3B1B" w:rsidP="00EE1D7F">
            <w:r>
              <w:t>1,2</w:t>
            </w:r>
          </w:p>
        </w:tc>
      </w:tr>
      <w:tr w:rsidR="00BA3B1B" w:rsidTr="00D66B14">
        <w:tc>
          <w:tcPr>
            <w:tcW w:w="7938" w:type="dxa"/>
          </w:tcPr>
          <w:p w:rsidR="00BA3B1B" w:rsidRDefault="00BA3B1B" w:rsidP="00A03917">
            <w:pPr>
              <w:pStyle w:val="ListParagraph"/>
              <w:numPr>
                <w:ilvl w:val="0"/>
                <w:numId w:val="3"/>
              </w:numPr>
            </w:pPr>
            <w:r>
              <w:t xml:space="preserve">Strengthening university program depth </w:t>
            </w:r>
          </w:p>
        </w:tc>
        <w:tc>
          <w:tcPr>
            <w:tcW w:w="3060" w:type="dxa"/>
          </w:tcPr>
          <w:p w:rsidR="00BA3B1B" w:rsidRDefault="00BA3B1B" w:rsidP="006254A7">
            <w:r>
              <w:t>1-4</w:t>
            </w:r>
          </w:p>
        </w:tc>
      </w:tr>
      <w:tr w:rsidR="00A03917" w:rsidTr="00D66B14">
        <w:tc>
          <w:tcPr>
            <w:tcW w:w="7938" w:type="dxa"/>
          </w:tcPr>
          <w:p w:rsidR="00A03917" w:rsidRDefault="00A03917" w:rsidP="00A03917">
            <w:pPr>
              <w:pStyle w:val="ListParagraph"/>
              <w:numPr>
                <w:ilvl w:val="0"/>
                <w:numId w:val="3"/>
              </w:numPr>
            </w:pPr>
            <w:r>
              <w:t xml:space="preserve">Optimize </w:t>
            </w:r>
            <w:r w:rsidR="00335304">
              <w:t>teacher e</w:t>
            </w:r>
            <w:r>
              <w:t>ducation programs and increase STEM graduates</w:t>
            </w:r>
          </w:p>
        </w:tc>
        <w:tc>
          <w:tcPr>
            <w:tcW w:w="3060" w:type="dxa"/>
          </w:tcPr>
          <w:p w:rsidR="00A03917" w:rsidRDefault="00A03917" w:rsidP="006254A7">
            <w:r>
              <w:t>2,4,5</w:t>
            </w:r>
          </w:p>
        </w:tc>
      </w:tr>
      <w:tr w:rsidR="00A03917" w:rsidTr="00D66B14">
        <w:tc>
          <w:tcPr>
            <w:tcW w:w="7938" w:type="dxa"/>
          </w:tcPr>
          <w:p w:rsidR="00A03917" w:rsidRDefault="00BA3B1B" w:rsidP="004E40EF">
            <w:pPr>
              <w:pStyle w:val="ListParagraph"/>
              <w:numPr>
                <w:ilvl w:val="0"/>
                <w:numId w:val="3"/>
              </w:numPr>
            </w:pPr>
            <w:r>
              <w:t>Develop corporate partnerships to create opportunities for students &amp; business</w:t>
            </w:r>
          </w:p>
        </w:tc>
        <w:tc>
          <w:tcPr>
            <w:tcW w:w="3060" w:type="dxa"/>
          </w:tcPr>
          <w:p w:rsidR="00A03917" w:rsidRDefault="00BA3B1B" w:rsidP="00EE1D7F">
            <w:r>
              <w:t>1-5</w:t>
            </w:r>
          </w:p>
        </w:tc>
      </w:tr>
      <w:tr w:rsidR="00A03917" w:rsidTr="00D66B14">
        <w:tc>
          <w:tcPr>
            <w:tcW w:w="7938" w:type="dxa"/>
          </w:tcPr>
          <w:p w:rsidR="00A03917" w:rsidRPr="00D66B14" w:rsidRDefault="004E40EF" w:rsidP="00EE1D7F">
            <w:pPr>
              <w:rPr>
                <w:b/>
              </w:rPr>
            </w:pPr>
            <w:r w:rsidRPr="00D66B14">
              <w:rPr>
                <w:b/>
              </w:rPr>
              <w:t xml:space="preserve">Infrastructure </w:t>
            </w:r>
          </w:p>
        </w:tc>
        <w:tc>
          <w:tcPr>
            <w:tcW w:w="3060" w:type="dxa"/>
          </w:tcPr>
          <w:p w:rsidR="00A03917" w:rsidRDefault="00A03917" w:rsidP="00EE1D7F"/>
        </w:tc>
      </w:tr>
      <w:tr w:rsidR="00A03917" w:rsidTr="00D66B14">
        <w:tc>
          <w:tcPr>
            <w:tcW w:w="7938" w:type="dxa"/>
          </w:tcPr>
          <w:p w:rsidR="00A03917" w:rsidRDefault="00A03917" w:rsidP="004E40EF">
            <w:pPr>
              <w:pStyle w:val="ListParagraph"/>
              <w:numPr>
                <w:ilvl w:val="0"/>
                <w:numId w:val="3"/>
              </w:numPr>
            </w:pPr>
            <w:r>
              <w:t>Improve measurement data and accountability for success metrics</w:t>
            </w:r>
          </w:p>
        </w:tc>
        <w:tc>
          <w:tcPr>
            <w:tcW w:w="3060" w:type="dxa"/>
          </w:tcPr>
          <w:p w:rsidR="00A03917" w:rsidRDefault="00A03917" w:rsidP="00EE1D7F">
            <w:r>
              <w:t>1-5</w:t>
            </w:r>
          </w:p>
        </w:tc>
      </w:tr>
      <w:tr w:rsidR="00A03917" w:rsidTr="00D66B14">
        <w:tc>
          <w:tcPr>
            <w:tcW w:w="7938" w:type="dxa"/>
          </w:tcPr>
          <w:p w:rsidR="00A03917" w:rsidRDefault="0012179C" w:rsidP="0012179C">
            <w:pPr>
              <w:pStyle w:val="ListParagraph"/>
              <w:numPr>
                <w:ilvl w:val="0"/>
                <w:numId w:val="3"/>
              </w:numPr>
            </w:pPr>
            <w:r>
              <w:t>Modify s</w:t>
            </w:r>
            <w:r w:rsidR="004E40EF">
              <w:t>tate</w:t>
            </w:r>
            <w:r>
              <w:t xml:space="preserve">’s </w:t>
            </w:r>
            <w:r w:rsidR="004E40EF">
              <w:t xml:space="preserve"> funding model</w:t>
            </w:r>
          </w:p>
        </w:tc>
        <w:tc>
          <w:tcPr>
            <w:tcW w:w="3060" w:type="dxa"/>
          </w:tcPr>
          <w:p w:rsidR="00A03917" w:rsidRDefault="00BA3B1B" w:rsidP="00EE1D7F">
            <w:r>
              <w:t>2,3</w:t>
            </w:r>
          </w:p>
        </w:tc>
      </w:tr>
      <w:tr w:rsidR="00A03917" w:rsidTr="00D66B14">
        <w:tc>
          <w:tcPr>
            <w:tcW w:w="7938" w:type="dxa"/>
          </w:tcPr>
          <w:p w:rsidR="00A03917" w:rsidRDefault="0012179C" w:rsidP="0082460D">
            <w:pPr>
              <w:pStyle w:val="ListParagraph"/>
              <w:numPr>
                <w:ilvl w:val="0"/>
                <w:numId w:val="3"/>
              </w:numPr>
            </w:pPr>
            <w:r>
              <w:t>Develop l</w:t>
            </w:r>
            <w:r w:rsidR="00B81CF8">
              <w:t>ong t</w:t>
            </w:r>
            <w:r w:rsidR="00B80C47">
              <w:t>erm tuition model</w:t>
            </w:r>
          </w:p>
        </w:tc>
        <w:tc>
          <w:tcPr>
            <w:tcW w:w="3060" w:type="dxa"/>
          </w:tcPr>
          <w:p w:rsidR="00A03917" w:rsidRDefault="00BA3B1B" w:rsidP="00EE1D7F">
            <w:r>
              <w:t>1-3,5</w:t>
            </w:r>
          </w:p>
        </w:tc>
      </w:tr>
      <w:tr w:rsidR="0012179C" w:rsidTr="00D66B14">
        <w:tc>
          <w:tcPr>
            <w:tcW w:w="7938" w:type="dxa"/>
          </w:tcPr>
          <w:p w:rsidR="0012179C" w:rsidRDefault="0082460D" w:rsidP="004E40EF">
            <w:pPr>
              <w:pStyle w:val="ListParagraph"/>
              <w:numPr>
                <w:ilvl w:val="0"/>
                <w:numId w:val="3"/>
              </w:numPr>
            </w:pPr>
            <w:r>
              <w:t>Integrated Human R</w:t>
            </w:r>
            <w:r w:rsidR="0012179C">
              <w:t xml:space="preserve">esources </w:t>
            </w:r>
            <w:r>
              <w:t xml:space="preserve">&amp; Procurement </w:t>
            </w:r>
            <w:r w:rsidR="0012179C">
              <w:t>functions</w:t>
            </w:r>
          </w:p>
        </w:tc>
        <w:tc>
          <w:tcPr>
            <w:tcW w:w="3060" w:type="dxa"/>
          </w:tcPr>
          <w:p w:rsidR="0012179C" w:rsidRDefault="0082460D" w:rsidP="00EE1D7F">
            <w:r>
              <w:t>3</w:t>
            </w:r>
          </w:p>
        </w:tc>
      </w:tr>
      <w:tr w:rsidR="0082460D" w:rsidTr="00D66B14">
        <w:tc>
          <w:tcPr>
            <w:tcW w:w="7938" w:type="dxa"/>
          </w:tcPr>
          <w:p w:rsidR="0082460D" w:rsidRDefault="0082460D" w:rsidP="0082460D">
            <w:pPr>
              <w:pStyle w:val="ListParagraph"/>
              <w:numPr>
                <w:ilvl w:val="0"/>
                <w:numId w:val="3"/>
              </w:numPr>
            </w:pPr>
            <w:r>
              <w:t>System-wide IT architecture design and information management practices</w:t>
            </w:r>
          </w:p>
        </w:tc>
        <w:tc>
          <w:tcPr>
            <w:tcW w:w="3060" w:type="dxa"/>
          </w:tcPr>
          <w:p w:rsidR="0082460D" w:rsidRDefault="0082460D" w:rsidP="00EE1D7F">
            <w:r>
              <w:t>3</w:t>
            </w:r>
          </w:p>
        </w:tc>
      </w:tr>
      <w:tr w:rsidR="0082460D" w:rsidTr="00D66B14">
        <w:tc>
          <w:tcPr>
            <w:tcW w:w="7938" w:type="dxa"/>
          </w:tcPr>
          <w:p w:rsidR="0082460D" w:rsidRDefault="0082460D" w:rsidP="0082460D">
            <w:pPr>
              <w:pStyle w:val="ListParagraph"/>
              <w:numPr>
                <w:ilvl w:val="0"/>
                <w:numId w:val="3"/>
              </w:numPr>
            </w:pPr>
            <w:r>
              <w:t xml:space="preserve">Build Institutional Research capabilities </w:t>
            </w:r>
          </w:p>
        </w:tc>
        <w:tc>
          <w:tcPr>
            <w:tcW w:w="3060" w:type="dxa"/>
          </w:tcPr>
          <w:p w:rsidR="0082460D" w:rsidRDefault="0082460D" w:rsidP="00EE1D7F">
            <w:r>
              <w:t>1-5</w:t>
            </w:r>
          </w:p>
        </w:tc>
      </w:tr>
    </w:tbl>
    <w:p w:rsidR="00794151" w:rsidRDefault="00794151">
      <w:pPr>
        <w:rPr>
          <w:b/>
        </w:rPr>
      </w:pPr>
    </w:p>
    <w:p w:rsidR="002846BD" w:rsidRPr="0089023B" w:rsidRDefault="00794151">
      <w:pPr>
        <w:rPr>
          <w:b/>
        </w:rPr>
      </w:pPr>
      <w:r>
        <w:rPr>
          <w:b/>
        </w:rPr>
        <w:t>T</w:t>
      </w:r>
      <w:r w:rsidR="0089023B" w:rsidRPr="0089023B">
        <w:rPr>
          <w:b/>
        </w:rPr>
        <w:t xml:space="preserve">imeline: </w:t>
      </w:r>
    </w:p>
    <w:tbl>
      <w:tblPr>
        <w:tblStyle w:val="TableGrid"/>
        <w:tblW w:w="10260" w:type="dxa"/>
        <w:tblInd w:w="-72" w:type="dxa"/>
        <w:tblLayout w:type="fixed"/>
        <w:tblLook w:val="04A0" w:firstRow="1" w:lastRow="0" w:firstColumn="1" w:lastColumn="0" w:noHBand="0" w:noVBand="1"/>
      </w:tblPr>
      <w:tblGrid>
        <w:gridCol w:w="5040"/>
        <w:gridCol w:w="630"/>
        <w:gridCol w:w="720"/>
        <w:gridCol w:w="630"/>
        <w:gridCol w:w="630"/>
        <w:gridCol w:w="630"/>
        <w:gridCol w:w="630"/>
        <w:gridCol w:w="720"/>
        <w:gridCol w:w="630"/>
      </w:tblGrid>
      <w:tr w:rsidR="00540312" w:rsidTr="008043BE">
        <w:tc>
          <w:tcPr>
            <w:tcW w:w="5040" w:type="dxa"/>
            <w:shd w:val="clear" w:color="auto" w:fill="DAEEF3" w:themeFill="accent5" w:themeFillTint="33"/>
          </w:tcPr>
          <w:p w:rsidR="0089023B" w:rsidRPr="00796CC5" w:rsidRDefault="00F07329">
            <w:pPr>
              <w:rPr>
                <w:b/>
              </w:rPr>
            </w:pPr>
            <w:r>
              <w:rPr>
                <w:b/>
              </w:rPr>
              <w:t>Activities</w:t>
            </w:r>
          </w:p>
        </w:tc>
        <w:tc>
          <w:tcPr>
            <w:tcW w:w="630" w:type="dxa"/>
            <w:shd w:val="clear" w:color="auto" w:fill="DAEEF3" w:themeFill="accent5" w:themeFillTint="33"/>
          </w:tcPr>
          <w:p w:rsidR="0089023B" w:rsidRPr="0089023B" w:rsidRDefault="00540312">
            <w:pPr>
              <w:rPr>
                <w:b/>
                <w:i/>
              </w:rPr>
            </w:pPr>
            <w:r>
              <w:rPr>
                <w:b/>
                <w:i/>
              </w:rPr>
              <w:t>Sept</w:t>
            </w:r>
          </w:p>
        </w:tc>
        <w:tc>
          <w:tcPr>
            <w:tcW w:w="720" w:type="dxa"/>
            <w:shd w:val="clear" w:color="auto" w:fill="DAEEF3" w:themeFill="accent5" w:themeFillTint="33"/>
          </w:tcPr>
          <w:p w:rsidR="0089023B" w:rsidRPr="0089023B" w:rsidRDefault="00540312">
            <w:pPr>
              <w:rPr>
                <w:b/>
                <w:i/>
              </w:rPr>
            </w:pPr>
            <w:r>
              <w:rPr>
                <w:b/>
                <w:i/>
              </w:rPr>
              <w:t>Oct</w:t>
            </w:r>
          </w:p>
        </w:tc>
        <w:tc>
          <w:tcPr>
            <w:tcW w:w="630" w:type="dxa"/>
            <w:shd w:val="clear" w:color="auto" w:fill="DAEEF3" w:themeFill="accent5" w:themeFillTint="33"/>
          </w:tcPr>
          <w:p w:rsidR="0089023B" w:rsidRPr="0089023B" w:rsidRDefault="00540312">
            <w:pPr>
              <w:rPr>
                <w:b/>
                <w:i/>
              </w:rPr>
            </w:pPr>
            <w:r>
              <w:rPr>
                <w:b/>
                <w:i/>
              </w:rPr>
              <w:t>Nov</w:t>
            </w:r>
          </w:p>
        </w:tc>
        <w:tc>
          <w:tcPr>
            <w:tcW w:w="630" w:type="dxa"/>
            <w:shd w:val="clear" w:color="auto" w:fill="DAEEF3" w:themeFill="accent5" w:themeFillTint="33"/>
          </w:tcPr>
          <w:p w:rsidR="0089023B" w:rsidRPr="0089023B" w:rsidRDefault="00540312">
            <w:pPr>
              <w:rPr>
                <w:b/>
                <w:i/>
              </w:rPr>
            </w:pPr>
            <w:r>
              <w:rPr>
                <w:b/>
                <w:i/>
              </w:rPr>
              <w:t>Dec</w:t>
            </w:r>
          </w:p>
        </w:tc>
        <w:tc>
          <w:tcPr>
            <w:tcW w:w="630" w:type="dxa"/>
            <w:shd w:val="clear" w:color="auto" w:fill="DAEEF3" w:themeFill="accent5" w:themeFillTint="33"/>
          </w:tcPr>
          <w:p w:rsidR="0089023B" w:rsidRPr="0089023B" w:rsidRDefault="00540312">
            <w:pPr>
              <w:rPr>
                <w:b/>
                <w:i/>
              </w:rPr>
            </w:pPr>
            <w:r>
              <w:rPr>
                <w:b/>
                <w:i/>
              </w:rPr>
              <w:t>Jan</w:t>
            </w:r>
          </w:p>
        </w:tc>
        <w:tc>
          <w:tcPr>
            <w:tcW w:w="630" w:type="dxa"/>
            <w:shd w:val="clear" w:color="auto" w:fill="DAEEF3" w:themeFill="accent5" w:themeFillTint="33"/>
          </w:tcPr>
          <w:p w:rsidR="0089023B" w:rsidRPr="0089023B" w:rsidRDefault="00540312">
            <w:pPr>
              <w:rPr>
                <w:b/>
                <w:i/>
              </w:rPr>
            </w:pPr>
            <w:r>
              <w:rPr>
                <w:b/>
                <w:i/>
              </w:rPr>
              <w:t>Feb</w:t>
            </w:r>
          </w:p>
        </w:tc>
        <w:tc>
          <w:tcPr>
            <w:tcW w:w="720" w:type="dxa"/>
            <w:shd w:val="clear" w:color="auto" w:fill="DAEEF3" w:themeFill="accent5" w:themeFillTint="33"/>
          </w:tcPr>
          <w:p w:rsidR="0089023B" w:rsidRPr="0089023B" w:rsidRDefault="00540312">
            <w:pPr>
              <w:rPr>
                <w:b/>
                <w:i/>
              </w:rPr>
            </w:pPr>
            <w:r>
              <w:rPr>
                <w:b/>
                <w:i/>
              </w:rPr>
              <w:t>Mar</w:t>
            </w:r>
          </w:p>
        </w:tc>
        <w:tc>
          <w:tcPr>
            <w:tcW w:w="630" w:type="dxa"/>
            <w:shd w:val="clear" w:color="auto" w:fill="DAEEF3" w:themeFill="accent5" w:themeFillTint="33"/>
          </w:tcPr>
          <w:p w:rsidR="0089023B" w:rsidRPr="0089023B" w:rsidRDefault="00540312">
            <w:pPr>
              <w:rPr>
                <w:b/>
                <w:i/>
              </w:rPr>
            </w:pPr>
            <w:r>
              <w:rPr>
                <w:b/>
                <w:i/>
              </w:rPr>
              <w:t>Apr</w:t>
            </w:r>
          </w:p>
        </w:tc>
      </w:tr>
      <w:tr w:rsidR="00540312" w:rsidTr="008043BE">
        <w:tc>
          <w:tcPr>
            <w:tcW w:w="5040" w:type="dxa"/>
          </w:tcPr>
          <w:p w:rsidR="0089023B" w:rsidRDefault="00691F78">
            <w:r>
              <w:t>College, Community, Legislative: Vision Discussions</w:t>
            </w:r>
          </w:p>
        </w:tc>
        <w:tc>
          <w:tcPr>
            <w:tcW w:w="630" w:type="dxa"/>
            <w:shd w:val="clear" w:color="auto" w:fill="FFC000"/>
          </w:tcPr>
          <w:p w:rsidR="0089023B" w:rsidRDefault="0089023B"/>
        </w:tc>
        <w:tc>
          <w:tcPr>
            <w:tcW w:w="720" w:type="dxa"/>
            <w:shd w:val="clear" w:color="auto" w:fill="FFC000"/>
          </w:tcPr>
          <w:p w:rsidR="0089023B" w:rsidRDefault="0089023B"/>
        </w:tc>
        <w:tc>
          <w:tcPr>
            <w:tcW w:w="630" w:type="dxa"/>
            <w:shd w:val="clear" w:color="auto" w:fill="FFC000"/>
          </w:tcPr>
          <w:p w:rsidR="0089023B" w:rsidRDefault="0089023B"/>
        </w:tc>
        <w:tc>
          <w:tcPr>
            <w:tcW w:w="630" w:type="dxa"/>
            <w:shd w:val="clear" w:color="auto" w:fill="FFC000"/>
          </w:tcPr>
          <w:p w:rsidR="0089023B" w:rsidRDefault="0089023B"/>
        </w:tc>
        <w:tc>
          <w:tcPr>
            <w:tcW w:w="630" w:type="dxa"/>
            <w:shd w:val="clear" w:color="auto" w:fill="FFC000"/>
          </w:tcPr>
          <w:p w:rsidR="0089023B" w:rsidRDefault="0089023B"/>
        </w:tc>
        <w:tc>
          <w:tcPr>
            <w:tcW w:w="630" w:type="dxa"/>
            <w:shd w:val="clear" w:color="auto" w:fill="FFC000"/>
          </w:tcPr>
          <w:p w:rsidR="0089023B" w:rsidRDefault="0089023B"/>
        </w:tc>
        <w:tc>
          <w:tcPr>
            <w:tcW w:w="720" w:type="dxa"/>
            <w:shd w:val="clear" w:color="auto" w:fill="FFC000"/>
          </w:tcPr>
          <w:p w:rsidR="0089023B" w:rsidRDefault="0089023B"/>
        </w:tc>
        <w:tc>
          <w:tcPr>
            <w:tcW w:w="630" w:type="dxa"/>
            <w:shd w:val="clear" w:color="auto" w:fill="FFC000"/>
          </w:tcPr>
          <w:p w:rsidR="0089023B" w:rsidRDefault="0089023B"/>
        </w:tc>
      </w:tr>
      <w:tr w:rsidR="00540312" w:rsidTr="008043BE">
        <w:tc>
          <w:tcPr>
            <w:tcW w:w="5040" w:type="dxa"/>
          </w:tcPr>
          <w:p w:rsidR="00691F78" w:rsidRDefault="00691F78" w:rsidP="00A0479E">
            <w:r>
              <w:t>Enrollment Management Strategy (Maguire)</w:t>
            </w:r>
            <w:r w:rsidR="00A0479E">
              <w:rPr>
                <w:rStyle w:val="FootnoteReference"/>
              </w:rPr>
              <w:footnoteReference w:id="1"/>
            </w:r>
          </w:p>
        </w:tc>
        <w:tc>
          <w:tcPr>
            <w:tcW w:w="630" w:type="dxa"/>
            <w:shd w:val="clear" w:color="auto" w:fill="00B0F0"/>
          </w:tcPr>
          <w:p w:rsidR="0089023B" w:rsidRDefault="0089023B"/>
        </w:tc>
        <w:tc>
          <w:tcPr>
            <w:tcW w:w="720" w:type="dxa"/>
            <w:shd w:val="clear" w:color="auto" w:fill="00B0F0"/>
          </w:tcPr>
          <w:p w:rsidR="0089023B" w:rsidRDefault="0089023B"/>
        </w:tc>
        <w:tc>
          <w:tcPr>
            <w:tcW w:w="630" w:type="dxa"/>
            <w:shd w:val="clear" w:color="auto" w:fill="00B0F0"/>
          </w:tcPr>
          <w:p w:rsidR="0089023B" w:rsidRDefault="0089023B"/>
        </w:tc>
        <w:tc>
          <w:tcPr>
            <w:tcW w:w="630" w:type="dxa"/>
            <w:shd w:val="clear" w:color="auto" w:fill="00B0F0"/>
          </w:tcPr>
          <w:p w:rsidR="0089023B" w:rsidRDefault="0089023B"/>
        </w:tc>
        <w:tc>
          <w:tcPr>
            <w:tcW w:w="630" w:type="dxa"/>
            <w:shd w:val="clear" w:color="auto" w:fill="00B0F0"/>
          </w:tcPr>
          <w:p w:rsidR="0089023B" w:rsidRDefault="0089023B"/>
        </w:tc>
        <w:tc>
          <w:tcPr>
            <w:tcW w:w="630" w:type="dxa"/>
            <w:shd w:val="clear" w:color="auto" w:fill="00B0F0"/>
          </w:tcPr>
          <w:p w:rsidR="0089023B" w:rsidRDefault="0089023B"/>
        </w:tc>
        <w:tc>
          <w:tcPr>
            <w:tcW w:w="720" w:type="dxa"/>
            <w:shd w:val="clear" w:color="auto" w:fill="00B0F0"/>
          </w:tcPr>
          <w:p w:rsidR="0089023B" w:rsidRDefault="0089023B"/>
        </w:tc>
        <w:tc>
          <w:tcPr>
            <w:tcW w:w="630" w:type="dxa"/>
            <w:shd w:val="clear" w:color="auto" w:fill="00B0F0"/>
          </w:tcPr>
          <w:p w:rsidR="0089023B" w:rsidRDefault="0089023B"/>
        </w:tc>
      </w:tr>
      <w:tr w:rsidR="00335304" w:rsidTr="00155E94">
        <w:tc>
          <w:tcPr>
            <w:tcW w:w="5040" w:type="dxa"/>
          </w:tcPr>
          <w:p w:rsidR="00335304" w:rsidRDefault="00335304" w:rsidP="00540312">
            <w:r>
              <w:t xml:space="preserve">Communication/Support Campaign </w:t>
            </w:r>
          </w:p>
        </w:tc>
        <w:tc>
          <w:tcPr>
            <w:tcW w:w="630" w:type="dxa"/>
            <w:shd w:val="clear" w:color="auto" w:fill="00B050"/>
          </w:tcPr>
          <w:p w:rsidR="00335304" w:rsidRDefault="00335304"/>
        </w:tc>
        <w:tc>
          <w:tcPr>
            <w:tcW w:w="720" w:type="dxa"/>
            <w:shd w:val="clear" w:color="auto" w:fill="00B050"/>
          </w:tcPr>
          <w:p w:rsidR="00335304" w:rsidRDefault="00335304"/>
        </w:tc>
        <w:tc>
          <w:tcPr>
            <w:tcW w:w="630" w:type="dxa"/>
            <w:shd w:val="clear" w:color="auto" w:fill="00B050"/>
          </w:tcPr>
          <w:p w:rsidR="00335304" w:rsidRPr="001D28FE" w:rsidRDefault="00335304">
            <w:pPr>
              <w:rPr>
                <w:highlight w:val="green"/>
              </w:rPr>
            </w:pPr>
          </w:p>
        </w:tc>
        <w:tc>
          <w:tcPr>
            <w:tcW w:w="630" w:type="dxa"/>
            <w:shd w:val="clear" w:color="auto" w:fill="00B050"/>
          </w:tcPr>
          <w:p w:rsidR="00335304" w:rsidRPr="001D28FE" w:rsidRDefault="00335304">
            <w:pPr>
              <w:rPr>
                <w:highlight w:val="green"/>
              </w:rPr>
            </w:pPr>
          </w:p>
        </w:tc>
        <w:tc>
          <w:tcPr>
            <w:tcW w:w="630" w:type="dxa"/>
            <w:shd w:val="clear" w:color="auto" w:fill="00B050"/>
          </w:tcPr>
          <w:p w:rsidR="00335304" w:rsidRDefault="00335304"/>
        </w:tc>
        <w:tc>
          <w:tcPr>
            <w:tcW w:w="630" w:type="dxa"/>
            <w:shd w:val="clear" w:color="auto" w:fill="00B050"/>
          </w:tcPr>
          <w:p w:rsidR="00335304" w:rsidRDefault="00335304"/>
        </w:tc>
        <w:tc>
          <w:tcPr>
            <w:tcW w:w="720" w:type="dxa"/>
            <w:shd w:val="clear" w:color="auto" w:fill="00B050"/>
          </w:tcPr>
          <w:p w:rsidR="00335304" w:rsidRDefault="00335304"/>
        </w:tc>
        <w:tc>
          <w:tcPr>
            <w:tcW w:w="630" w:type="dxa"/>
            <w:shd w:val="clear" w:color="auto" w:fill="00B050"/>
          </w:tcPr>
          <w:p w:rsidR="00335304" w:rsidRDefault="00335304"/>
        </w:tc>
      </w:tr>
      <w:tr w:rsidR="00335304" w:rsidTr="00155E94">
        <w:tc>
          <w:tcPr>
            <w:tcW w:w="5040" w:type="dxa"/>
          </w:tcPr>
          <w:p w:rsidR="00335304" w:rsidRDefault="00335304" w:rsidP="006254A7">
            <w:r>
              <w:t>Centers of Excellence Identification:  Industry Clusters</w:t>
            </w:r>
          </w:p>
        </w:tc>
        <w:tc>
          <w:tcPr>
            <w:tcW w:w="630" w:type="dxa"/>
            <w:shd w:val="clear" w:color="auto" w:fill="FFFF00"/>
          </w:tcPr>
          <w:p w:rsidR="00335304" w:rsidRDefault="00335304" w:rsidP="006254A7"/>
        </w:tc>
        <w:tc>
          <w:tcPr>
            <w:tcW w:w="720" w:type="dxa"/>
            <w:shd w:val="clear" w:color="auto" w:fill="FFFF00"/>
          </w:tcPr>
          <w:p w:rsidR="00335304" w:rsidRDefault="00335304" w:rsidP="006254A7"/>
        </w:tc>
        <w:tc>
          <w:tcPr>
            <w:tcW w:w="630" w:type="dxa"/>
            <w:shd w:val="clear" w:color="auto" w:fill="FFFF00"/>
          </w:tcPr>
          <w:p w:rsidR="00335304" w:rsidRDefault="00335304" w:rsidP="006254A7"/>
        </w:tc>
        <w:tc>
          <w:tcPr>
            <w:tcW w:w="630" w:type="dxa"/>
            <w:shd w:val="clear" w:color="auto" w:fill="FFFFFF" w:themeFill="background1"/>
          </w:tcPr>
          <w:p w:rsidR="00335304" w:rsidRDefault="00335304" w:rsidP="006254A7"/>
        </w:tc>
        <w:tc>
          <w:tcPr>
            <w:tcW w:w="630" w:type="dxa"/>
            <w:shd w:val="clear" w:color="auto" w:fill="auto"/>
          </w:tcPr>
          <w:p w:rsidR="00335304" w:rsidRDefault="00335304" w:rsidP="006254A7"/>
        </w:tc>
        <w:tc>
          <w:tcPr>
            <w:tcW w:w="630" w:type="dxa"/>
            <w:shd w:val="clear" w:color="auto" w:fill="auto"/>
          </w:tcPr>
          <w:p w:rsidR="00335304" w:rsidRDefault="00335304" w:rsidP="006254A7"/>
        </w:tc>
        <w:tc>
          <w:tcPr>
            <w:tcW w:w="720" w:type="dxa"/>
            <w:shd w:val="clear" w:color="auto" w:fill="auto"/>
          </w:tcPr>
          <w:p w:rsidR="00335304" w:rsidRDefault="00335304" w:rsidP="006254A7"/>
        </w:tc>
        <w:tc>
          <w:tcPr>
            <w:tcW w:w="630" w:type="dxa"/>
            <w:shd w:val="clear" w:color="auto" w:fill="auto"/>
          </w:tcPr>
          <w:p w:rsidR="00335304" w:rsidRDefault="00335304" w:rsidP="006254A7"/>
        </w:tc>
      </w:tr>
      <w:tr w:rsidR="00335304" w:rsidTr="00155E94">
        <w:tc>
          <w:tcPr>
            <w:tcW w:w="5040" w:type="dxa"/>
          </w:tcPr>
          <w:p w:rsidR="00335304" w:rsidRDefault="00335304" w:rsidP="00540312">
            <w:r>
              <w:t>Charter Oak Strategy</w:t>
            </w:r>
          </w:p>
        </w:tc>
        <w:tc>
          <w:tcPr>
            <w:tcW w:w="630" w:type="dxa"/>
          </w:tcPr>
          <w:p w:rsidR="00335304" w:rsidRDefault="00335304"/>
        </w:tc>
        <w:tc>
          <w:tcPr>
            <w:tcW w:w="720" w:type="dxa"/>
            <w:shd w:val="clear" w:color="auto" w:fill="B2A1C7" w:themeFill="accent4" w:themeFillTint="99"/>
          </w:tcPr>
          <w:p w:rsidR="00335304" w:rsidRDefault="00335304"/>
        </w:tc>
        <w:tc>
          <w:tcPr>
            <w:tcW w:w="630" w:type="dxa"/>
            <w:shd w:val="clear" w:color="auto" w:fill="B2A1C7" w:themeFill="accent4" w:themeFillTint="99"/>
          </w:tcPr>
          <w:p w:rsidR="00335304" w:rsidRPr="001D28FE" w:rsidRDefault="00335304">
            <w:pPr>
              <w:rPr>
                <w:highlight w:val="green"/>
              </w:rPr>
            </w:pPr>
          </w:p>
        </w:tc>
        <w:tc>
          <w:tcPr>
            <w:tcW w:w="630" w:type="dxa"/>
            <w:shd w:val="clear" w:color="auto" w:fill="B2A1C7" w:themeFill="accent4" w:themeFillTint="99"/>
          </w:tcPr>
          <w:p w:rsidR="00335304" w:rsidRPr="001D28FE" w:rsidRDefault="00335304">
            <w:pPr>
              <w:rPr>
                <w:highlight w:val="green"/>
              </w:rPr>
            </w:pPr>
          </w:p>
        </w:tc>
        <w:tc>
          <w:tcPr>
            <w:tcW w:w="630" w:type="dxa"/>
            <w:shd w:val="clear" w:color="auto" w:fill="auto"/>
          </w:tcPr>
          <w:p w:rsidR="00335304" w:rsidRDefault="00335304"/>
        </w:tc>
        <w:tc>
          <w:tcPr>
            <w:tcW w:w="630" w:type="dxa"/>
            <w:shd w:val="clear" w:color="auto" w:fill="auto"/>
          </w:tcPr>
          <w:p w:rsidR="00335304" w:rsidRDefault="00335304"/>
        </w:tc>
        <w:tc>
          <w:tcPr>
            <w:tcW w:w="720" w:type="dxa"/>
          </w:tcPr>
          <w:p w:rsidR="00335304" w:rsidRDefault="00335304"/>
        </w:tc>
        <w:tc>
          <w:tcPr>
            <w:tcW w:w="630" w:type="dxa"/>
          </w:tcPr>
          <w:p w:rsidR="00335304" w:rsidRDefault="00335304"/>
        </w:tc>
      </w:tr>
      <w:tr w:rsidR="00335304" w:rsidTr="00335304">
        <w:tc>
          <w:tcPr>
            <w:tcW w:w="5040" w:type="dxa"/>
          </w:tcPr>
          <w:p w:rsidR="00335304" w:rsidRDefault="00335304" w:rsidP="006254A7">
            <w:r>
              <w:t>Review others’ best practices (SUNY)</w:t>
            </w:r>
          </w:p>
        </w:tc>
        <w:tc>
          <w:tcPr>
            <w:tcW w:w="630" w:type="dxa"/>
            <w:shd w:val="clear" w:color="auto" w:fill="auto"/>
          </w:tcPr>
          <w:p w:rsidR="00335304" w:rsidRDefault="00335304" w:rsidP="006254A7"/>
        </w:tc>
        <w:tc>
          <w:tcPr>
            <w:tcW w:w="720" w:type="dxa"/>
            <w:shd w:val="clear" w:color="auto" w:fill="auto"/>
          </w:tcPr>
          <w:p w:rsidR="00335304" w:rsidRPr="00D4076C" w:rsidRDefault="00335304" w:rsidP="006254A7">
            <w:pPr>
              <w:rPr>
                <w:color w:val="B2A1C7" w:themeColor="accent4" w:themeTint="99"/>
              </w:rPr>
            </w:pPr>
          </w:p>
        </w:tc>
        <w:tc>
          <w:tcPr>
            <w:tcW w:w="630" w:type="dxa"/>
            <w:shd w:val="clear" w:color="auto" w:fill="7030A0"/>
          </w:tcPr>
          <w:p w:rsidR="00335304" w:rsidRPr="00335304" w:rsidRDefault="00335304" w:rsidP="006254A7">
            <w:pPr>
              <w:rPr>
                <w:b/>
              </w:rPr>
            </w:pPr>
            <w:r w:rsidRPr="00335304">
              <w:rPr>
                <w:b/>
              </w:rPr>
              <w:t>4th</w:t>
            </w:r>
          </w:p>
        </w:tc>
        <w:tc>
          <w:tcPr>
            <w:tcW w:w="630" w:type="dxa"/>
            <w:shd w:val="clear" w:color="auto" w:fill="FFFFFF" w:themeFill="background1"/>
          </w:tcPr>
          <w:p w:rsidR="00335304" w:rsidRPr="00D4076C" w:rsidRDefault="00335304" w:rsidP="006254A7">
            <w:pPr>
              <w:rPr>
                <w:color w:val="B2A1C7" w:themeColor="accent4" w:themeTint="99"/>
              </w:rPr>
            </w:pPr>
          </w:p>
        </w:tc>
        <w:tc>
          <w:tcPr>
            <w:tcW w:w="630" w:type="dxa"/>
          </w:tcPr>
          <w:p w:rsidR="00335304" w:rsidRDefault="00335304" w:rsidP="006254A7"/>
        </w:tc>
        <w:tc>
          <w:tcPr>
            <w:tcW w:w="630" w:type="dxa"/>
          </w:tcPr>
          <w:p w:rsidR="00335304" w:rsidRDefault="00335304" w:rsidP="006254A7"/>
        </w:tc>
        <w:tc>
          <w:tcPr>
            <w:tcW w:w="720" w:type="dxa"/>
          </w:tcPr>
          <w:p w:rsidR="00335304" w:rsidRDefault="00335304" w:rsidP="006254A7"/>
        </w:tc>
        <w:tc>
          <w:tcPr>
            <w:tcW w:w="630" w:type="dxa"/>
          </w:tcPr>
          <w:p w:rsidR="00335304" w:rsidRDefault="00335304" w:rsidP="006254A7"/>
        </w:tc>
      </w:tr>
      <w:tr w:rsidR="00335304" w:rsidTr="00335304">
        <w:tc>
          <w:tcPr>
            <w:tcW w:w="5040" w:type="dxa"/>
          </w:tcPr>
          <w:p w:rsidR="00335304" w:rsidRDefault="003335DA" w:rsidP="003335DA">
            <w:r>
              <w:t xml:space="preserve">Discuss Plan </w:t>
            </w:r>
            <w:r w:rsidR="00335304">
              <w:t xml:space="preserve">Updates </w:t>
            </w:r>
          </w:p>
        </w:tc>
        <w:tc>
          <w:tcPr>
            <w:tcW w:w="630" w:type="dxa"/>
          </w:tcPr>
          <w:p w:rsidR="00335304" w:rsidRDefault="00335304" w:rsidP="006254A7"/>
        </w:tc>
        <w:tc>
          <w:tcPr>
            <w:tcW w:w="720" w:type="dxa"/>
          </w:tcPr>
          <w:p w:rsidR="00335304" w:rsidRDefault="00335304" w:rsidP="006254A7"/>
        </w:tc>
        <w:tc>
          <w:tcPr>
            <w:tcW w:w="630" w:type="dxa"/>
            <w:shd w:val="clear" w:color="auto" w:fill="000000" w:themeFill="text1"/>
          </w:tcPr>
          <w:p w:rsidR="00335304" w:rsidRDefault="00335304" w:rsidP="006254A7"/>
        </w:tc>
        <w:tc>
          <w:tcPr>
            <w:tcW w:w="630" w:type="dxa"/>
            <w:shd w:val="clear" w:color="auto" w:fill="000000" w:themeFill="text1"/>
          </w:tcPr>
          <w:p w:rsidR="00335304" w:rsidRDefault="00335304" w:rsidP="006254A7"/>
        </w:tc>
        <w:tc>
          <w:tcPr>
            <w:tcW w:w="630" w:type="dxa"/>
            <w:shd w:val="clear" w:color="auto" w:fill="000000" w:themeFill="text1"/>
          </w:tcPr>
          <w:p w:rsidR="00335304" w:rsidRDefault="00335304" w:rsidP="006254A7"/>
        </w:tc>
        <w:tc>
          <w:tcPr>
            <w:tcW w:w="630" w:type="dxa"/>
            <w:shd w:val="clear" w:color="auto" w:fill="000000" w:themeFill="text1"/>
          </w:tcPr>
          <w:p w:rsidR="00335304" w:rsidRDefault="00335304" w:rsidP="006254A7"/>
        </w:tc>
        <w:tc>
          <w:tcPr>
            <w:tcW w:w="720" w:type="dxa"/>
            <w:shd w:val="clear" w:color="auto" w:fill="000000" w:themeFill="text1"/>
          </w:tcPr>
          <w:p w:rsidR="00335304" w:rsidRDefault="00335304" w:rsidP="006254A7"/>
        </w:tc>
        <w:tc>
          <w:tcPr>
            <w:tcW w:w="630" w:type="dxa"/>
            <w:shd w:val="clear" w:color="auto" w:fill="000000" w:themeFill="text1"/>
          </w:tcPr>
          <w:p w:rsidR="00335304" w:rsidRDefault="00335304" w:rsidP="006254A7"/>
        </w:tc>
      </w:tr>
      <w:tr w:rsidR="00335304" w:rsidTr="00155E94">
        <w:tc>
          <w:tcPr>
            <w:tcW w:w="5040" w:type="dxa"/>
          </w:tcPr>
          <w:p w:rsidR="00335304" w:rsidRDefault="00335304" w:rsidP="00540312">
            <w:r>
              <w:t>Private Public Partnership Meetings</w:t>
            </w:r>
          </w:p>
        </w:tc>
        <w:tc>
          <w:tcPr>
            <w:tcW w:w="630" w:type="dxa"/>
          </w:tcPr>
          <w:p w:rsidR="00335304" w:rsidRDefault="00335304"/>
        </w:tc>
        <w:tc>
          <w:tcPr>
            <w:tcW w:w="720" w:type="dxa"/>
          </w:tcPr>
          <w:p w:rsidR="00335304" w:rsidRDefault="00335304"/>
        </w:tc>
        <w:tc>
          <w:tcPr>
            <w:tcW w:w="630" w:type="dxa"/>
            <w:shd w:val="clear" w:color="auto" w:fill="92CDDC" w:themeFill="accent5" w:themeFillTint="99"/>
          </w:tcPr>
          <w:p w:rsidR="00335304" w:rsidRPr="001D28FE" w:rsidRDefault="00335304">
            <w:pPr>
              <w:rPr>
                <w:highlight w:val="green"/>
              </w:rPr>
            </w:pPr>
          </w:p>
        </w:tc>
        <w:tc>
          <w:tcPr>
            <w:tcW w:w="630" w:type="dxa"/>
            <w:shd w:val="clear" w:color="auto" w:fill="92CDDC" w:themeFill="accent5" w:themeFillTint="99"/>
          </w:tcPr>
          <w:p w:rsidR="00335304" w:rsidRPr="001D28FE" w:rsidRDefault="00335304">
            <w:pPr>
              <w:rPr>
                <w:highlight w:val="green"/>
              </w:rPr>
            </w:pPr>
          </w:p>
        </w:tc>
        <w:tc>
          <w:tcPr>
            <w:tcW w:w="630" w:type="dxa"/>
            <w:shd w:val="clear" w:color="auto" w:fill="92CDDC" w:themeFill="accent5" w:themeFillTint="99"/>
          </w:tcPr>
          <w:p w:rsidR="00335304" w:rsidRDefault="00335304"/>
        </w:tc>
        <w:tc>
          <w:tcPr>
            <w:tcW w:w="630" w:type="dxa"/>
            <w:shd w:val="clear" w:color="auto" w:fill="92CDDC" w:themeFill="accent5" w:themeFillTint="99"/>
          </w:tcPr>
          <w:p w:rsidR="00335304" w:rsidRDefault="00335304"/>
        </w:tc>
        <w:tc>
          <w:tcPr>
            <w:tcW w:w="720" w:type="dxa"/>
            <w:shd w:val="clear" w:color="auto" w:fill="92CDDC" w:themeFill="accent5" w:themeFillTint="99"/>
          </w:tcPr>
          <w:p w:rsidR="00335304" w:rsidRDefault="00335304"/>
        </w:tc>
        <w:tc>
          <w:tcPr>
            <w:tcW w:w="630" w:type="dxa"/>
            <w:shd w:val="clear" w:color="auto" w:fill="92CDDC" w:themeFill="accent5" w:themeFillTint="99"/>
          </w:tcPr>
          <w:p w:rsidR="00335304" w:rsidRDefault="00335304"/>
        </w:tc>
      </w:tr>
      <w:tr w:rsidR="00335304" w:rsidTr="00155E94">
        <w:tc>
          <w:tcPr>
            <w:tcW w:w="5040" w:type="dxa"/>
          </w:tcPr>
          <w:p w:rsidR="00335304" w:rsidRDefault="00335304" w:rsidP="00F07329">
            <w:r>
              <w:t xml:space="preserve">Early College Strategy </w:t>
            </w:r>
          </w:p>
        </w:tc>
        <w:tc>
          <w:tcPr>
            <w:tcW w:w="630" w:type="dxa"/>
          </w:tcPr>
          <w:p w:rsidR="00335304" w:rsidRDefault="00335304"/>
        </w:tc>
        <w:tc>
          <w:tcPr>
            <w:tcW w:w="720" w:type="dxa"/>
            <w:shd w:val="clear" w:color="auto" w:fill="FFFFFF" w:themeFill="background1"/>
          </w:tcPr>
          <w:p w:rsidR="00335304" w:rsidRPr="00D4076C" w:rsidRDefault="00335304">
            <w:pPr>
              <w:rPr>
                <w:b/>
              </w:rPr>
            </w:pPr>
          </w:p>
        </w:tc>
        <w:tc>
          <w:tcPr>
            <w:tcW w:w="630" w:type="dxa"/>
            <w:shd w:val="clear" w:color="auto" w:fill="17365D" w:themeFill="text2" w:themeFillShade="BF"/>
          </w:tcPr>
          <w:p w:rsidR="00335304" w:rsidRDefault="00335304"/>
        </w:tc>
        <w:tc>
          <w:tcPr>
            <w:tcW w:w="630" w:type="dxa"/>
            <w:shd w:val="clear" w:color="auto" w:fill="17365D" w:themeFill="text2" w:themeFillShade="BF"/>
          </w:tcPr>
          <w:p w:rsidR="00335304" w:rsidRDefault="00335304"/>
        </w:tc>
        <w:tc>
          <w:tcPr>
            <w:tcW w:w="630" w:type="dxa"/>
            <w:shd w:val="clear" w:color="auto" w:fill="17365D" w:themeFill="text2" w:themeFillShade="BF"/>
          </w:tcPr>
          <w:p w:rsidR="00335304" w:rsidRDefault="00335304"/>
        </w:tc>
        <w:tc>
          <w:tcPr>
            <w:tcW w:w="630" w:type="dxa"/>
            <w:shd w:val="clear" w:color="auto" w:fill="17365D" w:themeFill="text2" w:themeFillShade="BF"/>
          </w:tcPr>
          <w:p w:rsidR="00335304" w:rsidRDefault="00335304"/>
        </w:tc>
        <w:tc>
          <w:tcPr>
            <w:tcW w:w="720" w:type="dxa"/>
            <w:shd w:val="clear" w:color="auto" w:fill="17365D" w:themeFill="text2" w:themeFillShade="BF"/>
          </w:tcPr>
          <w:p w:rsidR="00335304" w:rsidRDefault="00335304"/>
        </w:tc>
        <w:tc>
          <w:tcPr>
            <w:tcW w:w="630" w:type="dxa"/>
            <w:shd w:val="clear" w:color="auto" w:fill="17365D" w:themeFill="text2" w:themeFillShade="BF"/>
          </w:tcPr>
          <w:p w:rsidR="00335304" w:rsidRDefault="00335304"/>
        </w:tc>
      </w:tr>
      <w:tr w:rsidR="00335304" w:rsidTr="00B81CF8">
        <w:tc>
          <w:tcPr>
            <w:tcW w:w="5040" w:type="dxa"/>
          </w:tcPr>
          <w:p w:rsidR="00335304" w:rsidRDefault="00335304" w:rsidP="00794151">
            <w:r>
              <w:t>Facilities Strategies (Sightlines )</w:t>
            </w:r>
          </w:p>
        </w:tc>
        <w:tc>
          <w:tcPr>
            <w:tcW w:w="630" w:type="dxa"/>
          </w:tcPr>
          <w:p w:rsidR="00335304" w:rsidRDefault="00335304"/>
        </w:tc>
        <w:tc>
          <w:tcPr>
            <w:tcW w:w="720" w:type="dxa"/>
          </w:tcPr>
          <w:p w:rsidR="00335304" w:rsidRDefault="00335304"/>
        </w:tc>
        <w:tc>
          <w:tcPr>
            <w:tcW w:w="630" w:type="dxa"/>
          </w:tcPr>
          <w:p w:rsidR="00335304" w:rsidRDefault="00335304"/>
        </w:tc>
        <w:tc>
          <w:tcPr>
            <w:tcW w:w="630" w:type="dxa"/>
            <w:shd w:val="clear" w:color="auto" w:fill="92D050"/>
          </w:tcPr>
          <w:p w:rsidR="00335304" w:rsidRPr="00B81CF8" w:rsidRDefault="00335304">
            <w:pPr>
              <w:rPr>
                <w:color w:val="FF0000"/>
                <w:highlight w:val="yellow"/>
              </w:rPr>
            </w:pPr>
          </w:p>
        </w:tc>
        <w:tc>
          <w:tcPr>
            <w:tcW w:w="630" w:type="dxa"/>
            <w:shd w:val="clear" w:color="auto" w:fill="92D050"/>
          </w:tcPr>
          <w:p w:rsidR="00335304" w:rsidRPr="00B81CF8" w:rsidRDefault="00335304">
            <w:pPr>
              <w:rPr>
                <w:color w:val="FF0000"/>
                <w:highlight w:val="yellow"/>
              </w:rPr>
            </w:pPr>
          </w:p>
        </w:tc>
        <w:tc>
          <w:tcPr>
            <w:tcW w:w="630" w:type="dxa"/>
            <w:shd w:val="clear" w:color="auto" w:fill="92D050"/>
          </w:tcPr>
          <w:p w:rsidR="00335304" w:rsidRPr="00B81CF8" w:rsidRDefault="00335304">
            <w:pPr>
              <w:rPr>
                <w:color w:val="FF0000"/>
                <w:highlight w:val="yellow"/>
              </w:rPr>
            </w:pPr>
          </w:p>
        </w:tc>
        <w:tc>
          <w:tcPr>
            <w:tcW w:w="720" w:type="dxa"/>
            <w:shd w:val="clear" w:color="auto" w:fill="92D050"/>
          </w:tcPr>
          <w:p w:rsidR="00335304" w:rsidRPr="00B81CF8" w:rsidRDefault="00335304">
            <w:pPr>
              <w:rPr>
                <w:color w:val="FF0000"/>
                <w:highlight w:val="yellow"/>
              </w:rPr>
            </w:pPr>
          </w:p>
        </w:tc>
        <w:tc>
          <w:tcPr>
            <w:tcW w:w="630" w:type="dxa"/>
            <w:shd w:val="clear" w:color="auto" w:fill="92D050"/>
          </w:tcPr>
          <w:p w:rsidR="00335304" w:rsidRPr="00B81CF8" w:rsidRDefault="00335304">
            <w:pPr>
              <w:rPr>
                <w:color w:val="FF0000"/>
                <w:highlight w:val="yellow"/>
              </w:rPr>
            </w:pPr>
          </w:p>
        </w:tc>
      </w:tr>
      <w:tr w:rsidR="00335304" w:rsidTr="006254A7">
        <w:tc>
          <w:tcPr>
            <w:tcW w:w="5040" w:type="dxa"/>
          </w:tcPr>
          <w:p w:rsidR="00335304" w:rsidRDefault="00335304" w:rsidP="006254A7">
            <w:r>
              <w:t xml:space="preserve">Development of Goal Metrics Data </w:t>
            </w:r>
          </w:p>
        </w:tc>
        <w:tc>
          <w:tcPr>
            <w:tcW w:w="630" w:type="dxa"/>
          </w:tcPr>
          <w:p w:rsidR="00335304" w:rsidRDefault="00335304" w:rsidP="006254A7"/>
        </w:tc>
        <w:tc>
          <w:tcPr>
            <w:tcW w:w="720" w:type="dxa"/>
          </w:tcPr>
          <w:p w:rsidR="00335304" w:rsidRDefault="00335304" w:rsidP="006254A7"/>
        </w:tc>
        <w:tc>
          <w:tcPr>
            <w:tcW w:w="630" w:type="dxa"/>
            <w:shd w:val="clear" w:color="auto" w:fill="FFFFFF" w:themeFill="background1"/>
          </w:tcPr>
          <w:p w:rsidR="00335304" w:rsidRDefault="00335304" w:rsidP="006254A7"/>
        </w:tc>
        <w:tc>
          <w:tcPr>
            <w:tcW w:w="630" w:type="dxa"/>
            <w:shd w:val="clear" w:color="auto" w:fill="FFFFFF" w:themeFill="background1"/>
          </w:tcPr>
          <w:p w:rsidR="00335304" w:rsidRDefault="00335304" w:rsidP="006254A7"/>
        </w:tc>
        <w:tc>
          <w:tcPr>
            <w:tcW w:w="630" w:type="dxa"/>
            <w:shd w:val="clear" w:color="auto" w:fill="943634" w:themeFill="accent2" w:themeFillShade="BF"/>
          </w:tcPr>
          <w:p w:rsidR="00335304" w:rsidRDefault="00335304" w:rsidP="006254A7"/>
        </w:tc>
        <w:tc>
          <w:tcPr>
            <w:tcW w:w="630" w:type="dxa"/>
            <w:shd w:val="clear" w:color="auto" w:fill="943634" w:themeFill="accent2" w:themeFillShade="BF"/>
          </w:tcPr>
          <w:p w:rsidR="00335304" w:rsidRDefault="00335304" w:rsidP="006254A7"/>
        </w:tc>
        <w:tc>
          <w:tcPr>
            <w:tcW w:w="720" w:type="dxa"/>
            <w:shd w:val="clear" w:color="auto" w:fill="943634" w:themeFill="accent2" w:themeFillShade="BF"/>
          </w:tcPr>
          <w:p w:rsidR="00335304" w:rsidRDefault="00335304" w:rsidP="006254A7"/>
        </w:tc>
        <w:tc>
          <w:tcPr>
            <w:tcW w:w="630" w:type="dxa"/>
            <w:shd w:val="clear" w:color="auto" w:fill="943634" w:themeFill="accent2" w:themeFillShade="BF"/>
          </w:tcPr>
          <w:p w:rsidR="00335304" w:rsidRDefault="00335304" w:rsidP="006254A7"/>
        </w:tc>
      </w:tr>
      <w:tr w:rsidR="00335304" w:rsidTr="00335304">
        <w:tc>
          <w:tcPr>
            <w:tcW w:w="5040" w:type="dxa"/>
          </w:tcPr>
          <w:p w:rsidR="00335304" w:rsidRDefault="00335304" w:rsidP="006254A7">
            <w:r>
              <w:t>Funding/Sustainability Strategies</w:t>
            </w:r>
          </w:p>
        </w:tc>
        <w:tc>
          <w:tcPr>
            <w:tcW w:w="630" w:type="dxa"/>
          </w:tcPr>
          <w:p w:rsidR="00335304" w:rsidRDefault="00335304" w:rsidP="006254A7"/>
        </w:tc>
        <w:tc>
          <w:tcPr>
            <w:tcW w:w="720" w:type="dxa"/>
          </w:tcPr>
          <w:p w:rsidR="00335304" w:rsidRPr="00D4076C" w:rsidRDefault="00335304" w:rsidP="006254A7">
            <w:pPr>
              <w:rPr>
                <w:color w:val="B2A1C7" w:themeColor="accent4" w:themeTint="99"/>
              </w:rPr>
            </w:pPr>
          </w:p>
        </w:tc>
        <w:tc>
          <w:tcPr>
            <w:tcW w:w="630" w:type="dxa"/>
            <w:shd w:val="clear" w:color="auto" w:fill="auto"/>
          </w:tcPr>
          <w:p w:rsidR="00335304" w:rsidRPr="00D4076C" w:rsidRDefault="00335304" w:rsidP="006254A7">
            <w:pPr>
              <w:rPr>
                <w:color w:val="B2A1C7" w:themeColor="accent4" w:themeTint="99"/>
              </w:rPr>
            </w:pPr>
          </w:p>
        </w:tc>
        <w:tc>
          <w:tcPr>
            <w:tcW w:w="630" w:type="dxa"/>
            <w:shd w:val="clear" w:color="auto" w:fill="auto"/>
          </w:tcPr>
          <w:p w:rsidR="00335304" w:rsidRPr="00D4076C" w:rsidRDefault="00335304" w:rsidP="006254A7">
            <w:pPr>
              <w:rPr>
                <w:color w:val="B2A1C7" w:themeColor="accent4" w:themeTint="99"/>
              </w:rPr>
            </w:pPr>
          </w:p>
        </w:tc>
        <w:tc>
          <w:tcPr>
            <w:tcW w:w="630" w:type="dxa"/>
            <w:shd w:val="clear" w:color="auto" w:fill="FF0000"/>
          </w:tcPr>
          <w:p w:rsidR="00335304" w:rsidRDefault="00335304" w:rsidP="006254A7"/>
        </w:tc>
        <w:tc>
          <w:tcPr>
            <w:tcW w:w="630" w:type="dxa"/>
            <w:shd w:val="clear" w:color="auto" w:fill="FF0000"/>
          </w:tcPr>
          <w:p w:rsidR="00335304" w:rsidRDefault="00335304" w:rsidP="006254A7"/>
        </w:tc>
        <w:tc>
          <w:tcPr>
            <w:tcW w:w="720" w:type="dxa"/>
            <w:shd w:val="clear" w:color="auto" w:fill="FF0000"/>
          </w:tcPr>
          <w:p w:rsidR="00335304" w:rsidRDefault="00335304" w:rsidP="006254A7"/>
        </w:tc>
        <w:tc>
          <w:tcPr>
            <w:tcW w:w="630" w:type="dxa"/>
            <w:shd w:val="clear" w:color="auto" w:fill="FF0000"/>
          </w:tcPr>
          <w:p w:rsidR="00335304" w:rsidRDefault="00335304" w:rsidP="006254A7"/>
        </w:tc>
      </w:tr>
      <w:tr w:rsidR="00335304" w:rsidTr="00155E94">
        <w:tc>
          <w:tcPr>
            <w:tcW w:w="5040" w:type="dxa"/>
          </w:tcPr>
          <w:p w:rsidR="00335304" w:rsidRDefault="00335304">
            <w:r>
              <w:t>Identification &amp; Sizing of Impact Investments</w:t>
            </w:r>
          </w:p>
        </w:tc>
        <w:tc>
          <w:tcPr>
            <w:tcW w:w="630" w:type="dxa"/>
            <w:shd w:val="clear" w:color="auto" w:fill="FFFFFF" w:themeFill="background1"/>
          </w:tcPr>
          <w:p w:rsidR="00335304" w:rsidRDefault="00335304"/>
        </w:tc>
        <w:tc>
          <w:tcPr>
            <w:tcW w:w="720" w:type="dxa"/>
            <w:shd w:val="clear" w:color="auto" w:fill="auto"/>
          </w:tcPr>
          <w:p w:rsidR="00335304" w:rsidRDefault="00335304"/>
        </w:tc>
        <w:tc>
          <w:tcPr>
            <w:tcW w:w="630" w:type="dxa"/>
            <w:shd w:val="clear" w:color="auto" w:fill="auto"/>
          </w:tcPr>
          <w:p w:rsidR="00335304" w:rsidRDefault="00335304"/>
        </w:tc>
        <w:tc>
          <w:tcPr>
            <w:tcW w:w="630" w:type="dxa"/>
            <w:shd w:val="clear" w:color="auto" w:fill="auto"/>
          </w:tcPr>
          <w:p w:rsidR="00335304" w:rsidRDefault="00335304"/>
        </w:tc>
        <w:tc>
          <w:tcPr>
            <w:tcW w:w="630" w:type="dxa"/>
            <w:shd w:val="clear" w:color="auto" w:fill="auto"/>
          </w:tcPr>
          <w:p w:rsidR="00335304" w:rsidRDefault="00335304"/>
        </w:tc>
        <w:tc>
          <w:tcPr>
            <w:tcW w:w="630" w:type="dxa"/>
            <w:shd w:val="clear" w:color="auto" w:fill="7030A0"/>
          </w:tcPr>
          <w:p w:rsidR="00335304" w:rsidRDefault="00335304">
            <w:r>
              <w:t xml:space="preserve"> </w:t>
            </w:r>
          </w:p>
        </w:tc>
        <w:tc>
          <w:tcPr>
            <w:tcW w:w="720" w:type="dxa"/>
            <w:shd w:val="clear" w:color="auto" w:fill="7030A0"/>
          </w:tcPr>
          <w:p w:rsidR="00335304" w:rsidRDefault="00335304"/>
        </w:tc>
        <w:tc>
          <w:tcPr>
            <w:tcW w:w="630" w:type="dxa"/>
            <w:shd w:val="clear" w:color="auto" w:fill="7030A0"/>
          </w:tcPr>
          <w:p w:rsidR="00335304" w:rsidRDefault="00335304"/>
        </w:tc>
      </w:tr>
      <w:tr w:rsidR="00335304" w:rsidTr="00155E94">
        <w:tc>
          <w:tcPr>
            <w:tcW w:w="5040" w:type="dxa"/>
          </w:tcPr>
          <w:p w:rsidR="00335304" w:rsidRDefault="00335304">
            <w:r>
              <w:t>Plan Draft Review by BOR; Edits and “Finalize”</w:t>
            </w:r>
          </w:p>
        </w:tc>
        <w:tc>
          <w:tcPr>
            <w:tcW w:w="630" w:type="dxa"/>
          </w:tcPr>
          <w:p w:rsidR="00335304" w:rsidRDefault="00335304"/>
        </w:tc>
        <w:tc>
          <w:tcPr>
            <w:tcW w:w="720" w:type="dxa"/>
          </w:tcPr>
          <w:p w:rsidR="00335304" w:rsidRDefault="00335304"/>
        </w:tc>
        <w:tc>
          <w:tcPr>
            <w:tcW w:w="630" w:type="dxa"/>
          </w:tcPr>
          <w:p w:rsidR="00335304" w:rsidRDefault="00335304"/>
        </w:tc>
        <w:tc>
          <w:tcPr>
            <w:tcW w:w="630" w:type="dxa"/>
          </w:tcPr>
          <w:p w:rsidR="00335304" w:rsidRDefault="00335304"/>
        </w:tc>
        <w:tc>
          <w:tcPr>
            <w:tcW w:w="630" w:type="dxa"/>
            <w:shd w:val="clear" w:color="auto" w:fill="auto"/>
          </w:tcPr>
          <w:p w:rsidR="00335304" w:rsidRDefault="00335304"/>
        </w:tc>
        <w:tc>
          <w:tcPr>
            <w:tcW w:w="630" w:type="dxa"/>
            <w:shd w:val="clear" w:color="auto" w:fill="0070C0"/>
          </w:tcPr>
          <w:p w:rsidR="00335304" w:rsidRDefault="00335304"/>
        </w:tc>
        <w:tc>
          <w:tcPr>
            <w:tcW w:w="720" w:type="dxa"/>
            <w:shd w:val="clear" w:color="auto" w:fill="0070C0"/>
          </w:tcPr>
          <w:p w:rsidR="00335304" w:rsidRDefault="00335304"/>
        </w:tc>
        <w:tc>
          <w:tcPr>
            <w:tcW w:w="630" w:type="dxa"/>
          </w:tcPr>
          <w:p w:rsidR="00335304" w:rsidRDefault="00335304"/>
        </w:tc>
      </w:tr>
      <w:tr w:rsidR="00335304" w:rsidTr="00155E94">
        <w:tc>
          <w:tcPr>
            <w:tcW w:w="5040" w:type="dxa"/>
          </w:tcPr>
          <w:p w:rsidR="00335304" w:rsidRDefault="00335304">
            <w:r>
              <w:t>Marketing Strategy</w:t>
            </w:r>
            <w:r>
              <w:rPr>
                <w:rStyle w:val="FootnoteReference"/>
              </w:rPr>
              <w:footnoteReference w:id="2"/>
            </w:r>
          </w:p>
        </w:tc>
        <w:tc>
          <w:tcPr>
            <w:tcW w:w="630" w:type="dxa"/>
          </w:tcPr>
          <w:p w:rsidR="00335304" w:rsidRDefault="00335304"/>
        </w:tc>
        <w:tc>
          <w:tcPr>
            <w:tcW w:w="720" w:type="dxa"/>
          </w:tcPr>
          <w:p w:rsidR="00335304" w:rsidRDefault="00335304"/>
        </w:tc>
        <w:tc>
          <w:tcPr>
            <w:tcW w:w="630" w:type="dxa"/>
          </w:tcPr>
          <w:p w:rsidR="00335304" w:rsidRDefault="00335304"/>
        </w:tc>
        <w:tc>
          <w:tcPr>
            <w:tcW w:w="630" w:type="dxa"/>
          </w:tcPr>
          <w:p w:rsidR="00335304" w:rsidRDefault="00335304"/>
        </w:tc>
        <w:tc>
          <w:tcPr>
            <w:tcW w:w="630" w:type="dxa"/>
          </w:tcPr>
          <w:p w:rsidR="00335304" w:rsidRDefault="00335304"/>
        </w:tc>
        <w:tc>
          <w:tcPr>
            <w:tcW w:w="630" w:type="dxa"/>
          </w:tcPr>
          <w:p w:rsidR="00335304" w:rsidRDefault="00335304"/>
        </w:tc>
        <w:tc>
          <w:tcPr>
            <w:tcW w:w="720" w:type="dxa"/>
          </w:tcPr>
          <w:p w:rsidR="00335304" w:rsidRDefault="00335304"/>
        </w:tc>
        <w:tc>
          <w:tcPr>
            <w:tcW w:w="630" w:type="dxa"/>
            <w:shd w:val="clear" w:color="auto" w:fill="00B050"/>
          </w:tcPr>
          <w:p w:rsidR="00335304" w:rsidRPr="001D28FE" w:rsidRDefault="00335304">
            <w:pPr>
              <w:rPr>
                <w:highlight w:val="darkGray"/>
              </w:rPr>
            </w:pPr>
          </w:p>
        </w:tc>
      </w:tr>
    </w:tbl>
    <w:p w:rsidR="002846BD" w:rsidRDefault="002846BD" w:rsidP="00335304"/>
    <w:sectPr w:rsidR="002846BD" w:rsidSect="0033530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4E1" w:rsidRDefault="000774E1" w:rsidP="00A0479E">
      <w:pPr>
        <w:spacing w:after="0" w:line="240" w:lineRule="auto"/>
      </w:pPr>
      <w:r>
        <w:separator/>
      </w:r>
    </w:p>
  </w:endnote>
  <w:endnote w:type="continuationSeparator" w:id="0">
    <w:p w:rsidR="000774E1" w:rsidRDefault="000774E1" w:rsidP="00A0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742137"/>
      <w:docPartObj>
        <w:docPartGallery w:val="Page Numbers (Bottom of Page)"/>
        <w:docPartUnique/>
      </w:docPartObj>
    </w:sdtPr>
    <w:sdtEndPr>
      <w:rPr>
        <w:noProof/>
      </w:rPr>
    </w:sdtEndPr>
    <w:sdtContent>
      <w:p w:rsidR="00A0479E" w:rsidRDefault="00A0479E">
        <w:pPr>
          <w:pStyle w:val="Footer"/>
          <w:jc w:val="right"/>
        </w:pPr>
        <w:r>
          <w:fldChar w:fldCharType="begin"/>
        </w:r>
        <w:r>
          <w:instrText xml:space="preserve"> PAGE   \* MERGEFORMAT </w:instrText>
        </w:r>
        <w:r>
          <w:fldChar w:fldCharType="separate"/>
        </w:r>
        <w:r w:rsidR="00605879">
          <w:rPr>
            <w:noProof/>
          </w:rPr>
          <w:t>2</w:t>
        </w:r>
        <w:r>
          <w:rPr>
            <w:noProof/>
          </w:rPr>
          <w:fldChar w:fldCharType="end"/>
        </w:r>
      </w:p>
    </w:sdtContent>
  </w:sdt>
  <w:p w:rsidR="00A0479E" w:rsidRDefault="00A04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4E1" w:rsidRDefault="000774E1" w:rsidP="00A0479E">
      <w:pPr>
        <w:spacing w:after="0" w:line="240" w:lineRule="auto"/>
      </w:pPr>
      <w:r>
        <w:separator/>
      </w:r>
    </w:p>
  </w:footnote>
  <w:footnote w:type="continuationSeparator" w:id="0">
    <w:p w:rsidR="000774E1" w:rsidRDefault="000774E1" w:rsidP="00A0479E">
      <w:pPr>
        <w:spacing w:after="0" w:line="240" w:lineRule="auto"/>
      </w:pPr>
      <w:r>
        <w:continuationSeparator/>
      </w:r>
    </w:p>
  </w:footnote>
  <w:footnote w:id="1">
    <w:p w:rsidR="00A0479E" w:rsidRDefault="00A0479E">
      <w:pPr>
        <w:pStyle w:val="FootnoteText"/>
      </w:pPr>
      <w:r>
        <w:rPr>
          <w:rStyle w:val="FootnoteReference"/>
        </w:rPr>
        <w:footnoteRef/>
      </w:r>
      <w:r>
        <w:t xml:space="preserve"> Maguire Associates’ engagement will culminate in June, 2014, with marketing/branding analysis and recommendations. </w:t>
      </w:r>
      <w:r w:rsidR="00B2196B">
        <w:t xml:space="preserve">Interim deliverables  will be </w:t>
      </w:r>
      <w:r>
        <w:t xml:space="preserve">levered in BOR strategic plan. </w:t>
      </w:r>
    </w:p>
  </w:footnote>
  <w:footnote w:id="2">
    <w:p w:rsidR="00335304" w:rsidRDefault="00335304">
      <w:pPr>
        <w:pStyle w:val="FootnoteText"/>
      </w:pPr>
      <w:r>
        <w:rPr>
          <w:rStyle w:val="FootnoteReference"/>
        </w:rPr>
        <w:footnoteRef/>
      </w:r>
      <w:r>
        <w:t xml:space="preserve"> Placeholder doll</w:t>
      </w:r>
      <w:r w:rsidR="00B80C47">
        <w:t>ars will be included in plan. Strate</w:t>
      </w:r>
      <w:r>
        <w:t>gy specifics will follow capital investment approval.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072E"/>
    <w:multiLevelType w:val="hybridMultilevel"/>
    <w:tmpl w:val="F2761E60"/>
    <w:lvl w:ilvl="0" w:tplc="F4BEDC9C">
      <w:start w:val="1"/>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4DAE504A"/>
    <w:multiLevelType w:val="hybridMultilevel"/>
    <w:tmpl w:val="1E6C6718"/>
    <w:lvl w:ilvl="0" w:tplc="C68C5B4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C776A"/>
    <w:multiLevelType w:val="hybridMultilevel"/>
    <w:tmpl w:val="11BE1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A9"/>
    <w:rsid w:val="000130D4"/>
    <w:rsid w:val="00024FDD"/>
    <w:rsid w:val="000774E1"/>
    <w:rsid w:val="0012179C"/>
    <w:rsid w:val="001262C3"/>
    <w:rsid w:val="001D28FE"/>
    <w:rsid w:val="002846BD"/>
    <w:rsid w:val="003335DA"/>
    <w:rsid w:val="00335304"/>
    <w:rsid w:val="00394822"/>
    <w:rsid w:val="004A5CB5"/>
    <w:rsid w:val="004D3853"/>
    <w:rsid w:val="004E40EF"/>
    <w:rsid w:val="00540312"/>
    <w:rsid w:val="00563A7E"/>
    <w:rsid w:val="005B2F57"/>
    <w:rsid w:val="005D4767"/>
    <w:rsid w:val="00605879"/>
    <w:rsid w:val="00626C69"/>
    <w:rsid w:val="00674DAC"/>
    <w:rsid w:val="00687637"/>
    <w:rsid w:val="00691F78"/>
    <w:rsid w:val="006F1F14"/>
    <w:rsid w:val="006F7CA8"/>
    <w:rsid w:val="007570C9"/>
    <w:rsid w:val="00794151"/>
    <w:rsid w:val="00796CC5"/>
    <w:rsid w:val="007A3245"/>
    <w:rsid w:val="007C0ED8"/>
    <w:rsid w:val="007C61BC"/>
    <w:rsid w:val="008043BE"/>
    <w:rsid w:val="0082460D"/>
    <w:rsid w:val="0089023B"/>
    <w:rsid w:val="008D12DF"/>
    <w:rsid w:val="008E68DD"/>
    <w:rsid w:val="00A03917"/>
    <w:rsid w:val="00A0479E"/>
    <w:rsid w:val="00AC59F5"/>
    <w:rsid w:val="00AF0661"/>
    <w:rsid w:val="00B2024C"/>
    <w:rsid w:val="00B2196B"/>
    <w:rsid w:val="00B80C47"/>
    <w:rsid w:val="00B81CF8"/>
    <w:rsid w:val="00BA3B1B"/>
    <w:rsid w:val="00C87BDB"/>
    <w:rsid w:val="00CC389C"/>
    <w:rsid w:val="00CD31B1"/>
    <w:rsid w:val="00D4076C"/>
    <w:rsid w:val="00D66B14"/>
    <w:rsid w:val="00DD15C2"/>
    <w:rsid w:val="00DE1592"/>
    <w:rsid w:val="00DF1D99"/>
    <w:rsid w:val="00DF31DD"/>
    <w:rsid w:val="00E20D3E"/>
    <w:rsid w:val="00EA3C56"/>
    <w:rsid w:val="00EC726D"/>
    <w:rsid w:val="00EE58A9"/>
    <w:rsid w:val="00F07329"/>
    <w:rsid w:val="00F33B40"/>
    <w:rsid w:val="00F52694"/>
    <w:rsid w:val="00F60BAE"/>
    <w:rsid w:val="00FB2915"/>
    <w:rsid w:val="00FD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9E"/>
  </w:style>
  <w:style w:type="paragraph" w:styleId="Footer">
    <w:name w:val="footer"/>
    <w:basedOn w:val="Normal"/>
    <w:link w:val="FooterChar"/>
    <w:uiPriority w:val="99"/>
    <w:unhideWhenUsed/>
    <w:rsid w:val="00A0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9E"/>
  </w:style>
  <w:style w:type="paragraph" w:styleId="EndnoteText">
    <w:name w:val="endnote text"/>
    <w:basedOn w:val="Normal"/>
    <w:link w:val="EndnoteTextChar"/>
    <w:uiPriority w:val="99"/>
    <w:semiHidden/>
    <w:unhideWhenUsed/>
    <w:rsid w:val="00A04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479E"/>
    <w:rPr>
      <w:sz w:val="20"/>
      <w:szCs w:val="20"/>
    </w:rPr>
  </w:style>
  <w:style w:type="character" w:styleId="EndnoteReference">
    <w:name w:val="endnote reference"/>
    <w:basedOn w:val="DefaultParagraphFont"/>
    <w:uiPriority w:val="99"/>
    <w:semiHidden/>
    <w:unhideWhenUsed/>
    <w:rsid w:val="00A0479E"/>
    <w:rPr>
      <w:vertAlign w:val="superscript"/>
    </w:rPr>
  </w:style>
  <w:style w:type="paragraph" w:styleId="FootnoteText">
    <w:name w:val="footnote text"/>
    <w:basedOn w:val="Normal"/>
    <w:link w:val="FootnoteTextChar"/>
    <w:uiPriority w:val="99"/>
    <w:semiHidden/>
    <w:unhideWhenUsed/>
    <w:rsid w:val="00A04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79E"/>
    <w:rPr>
      <w:sz w:val="20"/>
      <w:szCs w:val="20"/>
    </w:rPr>
  </w:style>
  <w:style w:type="character" w:styleId="FootnoteReference">
    <w:name w:val="footnote reference"/>
    <w:basedOn w:val="DefaultParagraphFont"/>
    <w:uiPriority w:val="99"/>
    <w:semiHidden/>
    <w:unhideWhenUsed/>
    <w:rsid w:val="00A0479E"/>
    <w:rPr>
      <w:vertAlign w:val="superscript"/>
    </w:rPr>
  </w:style>
  <w:style w:type="paragraph" w:styleId="ListParagraph">
    <w:name w:val="List Paragraph"/>
    <w:basedOn w:val="Normal"/>
    <w:uiPriority w:val="34"/>
    <w:qFormat/>
    <w:rsid w:val="00CC38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9E"/>
  </w:style>
  <w:style w:type="paragraph" w:styleId="Footer">
    <w:name w:val="footer"/>
    <w:basedOn w:val="Normal"/>
    <w:link w:val="FooterChar"/>
    <w:uiPriority w:val="99"/>
    <w:unhideWhenUsed/>
    <w:rsid w:val="00A0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9E"/>
  </w:style>
  <w:style w:type="paragraph" w:styleId="EndnoteText">
    <w:name w:val="endnote text"/>
    <w:basedOn w:val="Normal"/>
    <w:link w:val="EndnoteTextChar"/>
    <w:uiPriority w:val="99"/>
    <w:semiHidden/>
    <w:unhideWhenUsed/>
    <w:rsid w:val="00A04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479E"/>
    <w:rPr>
      <w:sz w:val="20"/>
      <w:szCs w:val="20"/>
    </w:rPr>
  </w:style>
  <w:style w:type="character" w:styleId="EndnoteReference">
    <w:name w:val="endnote reference"/>
    <w:basedOn w:val="DefaultParagraphFont"/>
    <w:uiPriority w:val="99"/>
    <w:semiHidden/>
    <w:unhideWhenUsed/>
    <w:rsid w:val="00A0479E"/>
    <w:rPr>
      <w:vertAlign w:val="superscript"/>
    </w:rPr>
  </w:style>
  <w:style w:type="paragraph" w:styleId="FootnoteText">
    <w:name w:val="footnote text"/>
    <w:basedOn w:val="Normal"/>
    <w:link w:val="FootnoteTextChar"/>
    <w:uiPriority w:val="99"/>
    <w:semiHidden/>
    <w:unhideWhenUsed/>
    <w:rsid w:val="00A04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79E"/>
    <w:rPr>
      <w:sz w:val="20"/>
      <w:szCs w:val="20"/>
    </w:rPr>
  </w:style>
  <w:style w:type="character" w:styleId="FootnoteReference">
    <w:name w:val="footnote reference"/>
    <w:basedOn w:val="DefaultParagraphFont"/>
    <w:uiPriority w:val="99"/>
    <w:semiHidden/>
    <w:unhideWhenUsed/>
    <w:rsid w:val="00A0479E"/>
    <w:rPr>
      <w:vertAlign w:val="superscript"/>
    </w:rPr>
  </w:style>
  <w:style w:type="paragraph" w:styleId="ListParagraph">
    <w:name w:val="List Paragraph"/>
    <w:basedOn w:val="Normal"/>
    <w:uiPriority w:val="34"/>
    <w:qFormat/>
    <w:rsid w:val="00CC3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AEC60-C0C9-4E19-86DF-DAC6E5CA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BOTCTCC</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Caswell, Elizabeth</dc:creator>
  <cp:lastModifiedBy>Caswell, Elizabeth</cp:lastModifiedBy>
  <cp:revision>2</cp:revision>
  <cp:lastPrinted>2013-10-25T13:16:00Z</cp:lastPrinted>
  <dcterms:created xsi:type="dcterms:W3CDTF">2013-11-13T20:02:00Z</dcterms:created>
  <dcterms:modified xsi:type="dcterms:W3CDTF">2013-11-13T20:02:00Z</dcterms:modified>
</cp:coreProperties>
</file>