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AA" w:rsidRDefault="00AA52A7">
      <w:pPr>
        <w:tabs>
          <w:tab w:val="right" w:pos="10335"/>
        </w:tabs>
        <w:spacing w:after="106" w:line="259" w:lineRule="auto"/>
        <w:ind w:left="0" w:right="0" w:firstLine="0"/>
        <w:jc w:val="left"/>
      </w:pPr>
      <w:bookmarkStart w:id="0" w:name="_GoBack"/>
      <w:bookmarkEnd w:id="0"/>
      <w:r>
        <w:rPr>
          <w:i/>
          <w:sz w:val="20"/>
        </w:rPr>
        <w:t>Liberal Arts and Beha</w:t>
      </w:r>
      <w:r w:rsidR="00C35DC1">
        <w:rPr>
          <w:i/>
          <w:sz w:val="20"/>
        </w:rPr>
        <w:t>vioral/Social Sciences Division</w:t>
      </w:r>
    </w:p>
    <w:p w:rsidR="009E30AA" w:rsidRDefault="00AA52A7">
      <w:pPr>
        <w:spacing w:after="88"/>
        <w:ind w:left="13" w:right="87" w:hanging="10"/>
        <w:jc w:val="left"/>
      </w:pPr>
      <w:r>
        <w:rPr>
          <w:b/>
          <w:sz w:val="24"/>
        </w:rPr>
        <w:t xml:space="preserve">BEHAVIORAL SCIENCE </w:t>
      </w:r>
      <w:r>
        <w:rPr>
          <w:i/>
        </w:rPr>
        <w:t>(This program is ending in 2020 and is no longer accepting students for this major.)</w:t>
      </w:r>
    </w:p>
    <w:p w:rsidR="009E30AA" w:rsidRDefault="00AA52A7">
      <w:pPr>
        <w:spacing w:after="86"/>
        <w:ind w:left="3" w:firstLine="0"/>
      </w:pPr>
      <w:r>
        <w:t xml:space="preserve">This program is a course of study for students who intend to pursue a Bachelor Degree in one of the Behavioral Sciences (Psychology, Sociology, or Anthropology).  It provides the foundation for an education in these disciplines, while also ensuring a more general education in the arts and sciences. The requirements for this degree will allow students to transfer seamlessly to most four-year colleges and to successfully complete their Bachelor Degree in Psychology, Sociology, or Anthropology without loss of credit or time.  </w:t>
      </w:r>
    </w:p>
    <w:p w:rsidR="001A3841" w:rsidRDefault="00AA52A7">
      <w:pPr>
        <w:spacing w:after="86"/>
        <w:ind w:left="3" w:right="0" w:firstLine="0"/>
      </w:pPr>
      <w:r>
        <w:t>Job market trends reveal continued high interest and opportunities in the Behavioral Sciences. This program provides students with the type of educational foundation that is necessary to achieve success in psychology, sociology, or anthropology.</w:t>
      </w:r>
    </w:p>
    <w:p w:rsidR="001A3841" w:rsidRDefault="001A3841">
      <w:pPr>
        <w:spacing w:after="86"/>
        <w:ind w:left="3" w:right="0" w:firstLine="0"/>
      </w:pPr>
      <w:r>
        <w:rPr>
          <w:i/>
        </w:rPr>
        <w:t xml:space="preserve">General Education Core course listings and definitions appear on pages 53-54. Placement testing will determine the sequencing of courses. Additional courses may be required.  </w:t>
      </w:r>
    </w:p>
    <w:p w:rsidR="00C35DC1" w:rsidRDefault="00AA52A7">
      <w:pPr>
        <w:spacing w:after="86"/>
        <w:ind w:left="3" w:right="0" w:firstLine="0"/>
        <w:sectPr w:rsidR="00C35DC1" w:rsidSect="00C35DC1">
          <w:headerReference w:type="default" r:id="rId7"/>
          <w:pgSz w:w="12240" w:h="20160" w:code="5"/>
          <w:pgMar w:top="720" w:right="720" w:bottom="720" w:left="720" w:header="432" w:footer="720" w:gutter="0"/>
          <w:cols w:space="288"/>
          <w:docGrid w:linePitch="218"/>
        </w:sectPr>
      </w:pPr>
      <w:r>
        <w:t xml:space="preserve">  </w:t>
      </w:r>
    </w:p>
    <w:p w:rsidR="009E30AA" w:rsidRDefault="009E30AA">
      <w:pPr>
        <w:spacing w:after="86"/>
        <w:ind w:left="3" w:right="0" w:firstLine="0"/>
      </w:pPr>
    </w:p>
    <w:p w:rsidR="00C35DC1" w:rsidRDefault="00C35DC1">
      <w:pPr>
        <w:spacing w:after="252"/>
        <w:ind w:left="13" w:right="87" w:hanging="10"/>
        <w:jc w:val="left"/>
      </w:pPr>
    </w:p>
    <w:tbl>
      <w:tblPr>
        <w:tblStyle w:val="TableGrid"/>
        <w:tblpPr w:vertAnchor="text" w:tblpX="3" w:tblpY="-518"/>
        <w:tblOverlap w:val="never"/>
        <w:tblW w:w="5985" w:type="dxa"/>
        <w:tblInd w:w="0" w:type="dxa"/>
        <w:tblCellMar>
          <w:top w:w="79" w:type="dxa"/>
          <w:left w:w="80" w:type="dxa"/>
          <w:right w:w="95" w:type="dxa"/>
        </w:tblCellMar>
        <w:tblLook w:val="04A0" w:firstRow="1" w:lastRow="0" w:firstColumn="1" w:lastColumn="0" w:noHBand="0" w:noVBand="1"/>
      </w:tblPr>
      <w:tblGrid>
        <w:gridCol w:w="2465"/>
        <w:gridCol w:w="2464"/>
        <w:gridCol w:w="1056"/>
      </w:tblGrid>
      <w:tr w:rsidR="009E30AA" w:rsidTr="00C35DC1">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9E30AA" w:rsidRDefault="00AA52A7">
            <w:pPr>
              <w:spacing w:after="0" w:line="259" w:lineRule="auto"/>
              <w:ind w:left="224" w:right="119" w:firstLine="0"/>
              <w:jc w:val="center"/>
            </w:pPr>
            <w:r>
              <w:rPr>
                <w:b/>
                <w:color w:val="FFFFFF"/>
                <w:sz w:val="20"/>
              </w:rPr>
              <w:t>Competency or  Program Requirement</w:t>
            </w:r>
          </w:p>
        </w:tc>
        <w:tc>
          <w:tcPr>
            <w:tcW w:w="2464"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9E30AA" w:rsidRDefault="00AA52A7">
            <w:pPr>
              <w:spacing w:after="0" w:line="259" w:lineRule="auto"/>
              <w:ind w:left="15" w:right="0"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9E30AA" w:rsidRDefault="00AA52A7">
            <w:pPr>
              <w:spacing w:after="0" w:line="259" w:lineRule="auto"/>
              <w:ind w:left="0" w:right="0" w:firstLine="0"/>
              <w:jc w:val="center"/>
            </w:pPr>
            <w:r>
              <w:rPr>
                <w:color w:val="FFFFFF"/>
                <w:sz w:val="20"/>
              </w:rPr>
              <w:t>Required Credits</w:t>
            </w:r>
          </w:p>
        </w:tc>
      </w:tr>
      <w:tr w:rsidR="009E30AA" w:rsidTr="00C35DC1">
        <w:trPr>
          <w:trHeight w:val="461"/>
        </w:trPr>
        <w:tc>
          <w:tcPr>
            <w:tcW w:w="2465"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Aesthetic Dimensions/Written </w:t>
            </w:r>
          </w:p>
          <w:p w:rsidR="009E30AA" w:rsidRDefault="00AA52A7">
            <w:pPr>
              <w:spacing w:after="0" w:line="259" w:lineRule="auto"/>
              <w:ind w:left="0" w:right="0" w:firstLine="0"/>
              <w:jc w:val="left"/>
            </w:pPr>
            <w:r>
              <w:t>Communications</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Choose any Aesthetic Dimensions/</w:t>
            </w:r>
          </w:p>
          <w:p w:rsidR="009E30AA" w:rsidRDefault="00AA52A7">
            <w:pPr>
              <w:spacing w:after="0" w:line="259" w:lineRule="auto"/>
              <w:ind w:left="0" w:right="0" w:firstLine="0"/>
              <w:jc w:val="left"/>
            </w:pPr>
            <w:r>
              <w:t>Written 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0" w:right="0" w:firstLine="0"/>
              <w:jc w:val="left"/>
            </w:pPr>
            <w:r>
              <w:t xml:space="preserve">Continuing Learning and Information </w:t>
            </w:r>
          </w:p>
          <w:p w:rsidR="009E30AA" w:rsidRDefault="00AA52A7">
            <w:pPr>
              <w:spacing w:after="0" w:line="259" w:lineRule="auto"/>
              <w:ind w:left="0" w:right="0" w:firstLine="0"/>
              <w:jc w:val="left"/>
            </w:pPr>
            <w:r>
              <w:t>Literacy/Ethics</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33" w:lineRule="auto"/>
              <w:ind w:left="0" w:right="334" w:firstLine="0"/>
              <w:jc w:val="left"/>
            </w:pPr>
            <w:r>
              <w:t>Prefer CSA*H105 Introduction to Software Applications OR</w:t>
            </w:r>
          </w:p>
          <w:p w:rsidR="009E30AA" w:rsidRDefault="00AA52A7">
            <w:pPr>
              <w:spacing w:after="0" w:line="259" w:lineRule="auto"/>
              <w:ind w:left="0" w:right="0" w:firstLine="0"/>
              <w:jc w:val="left"/>
            </w:pPr>
            <w:r>
              <w:t>CSC*H101 Introduction to Computers</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461"/>
        </w:trPr>
        <w:tc>
          <w:tcPr>
            <w:tcW w:w="2465"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Critical Analysis and Logical Thinking/</w:t>
            </w:r>
          </w:p>
          <w:p w:rsidR="009E30AA" w:rsidRDefault="00AA52A7">
            <w:pPr>
              <w:spacing w:after="0" w:line="259" w:lineRule="auto"/>
              <w:ind w:left="0" w:right="0" w:firstLine="0"/>
              <w:jc w:val="left"/>
            </w:pPr>
            <w:r>
              <w:t>Written Communication</w:t>
            </w:r>
          </w:p>
        </w:tc>
        <w:tc>
          <w:tcPr>
            <w:tcW w:w="2464"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0" w:right="0" w:firstLine="0"/>
              <w:jc w:val="left"/>
            </w:pPr>
            <w: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0" w:right="0" w:firstLine="0"/>
              <w:jc w:val="left"/>
            </w:pPr>
            <w:r>
              <w:t>Historical Knowledge</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Choose any Historical </w:t>
            </w:r>
          </w:p>
          <w:p w:rsidR="009E30AA" w:rsidRDefault="00AA52A7">
            <w:pPr>
              <w:spacing w:after="0" w:line="259" w:lineRule="auto"/>
              <w:ind w:left="0" w:right="0" w:firstLine="0"/>
              <w:jc w:val="left"/>
            </w:pPr>
            <w:r>
              <w:t>Knowledge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0" w:right="0" w:firstLine="0"/>
              <w:jc w:val="left"/>
            </w:pPr>
            <w:r>
              <w:t>Oral Communication</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Choose any Oral Communication course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271"/>
        </w:trPr>
        <w:tc>
          <w:tcPr>
            <w:tcW w:w="2465"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Quantitative Reasoning</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MAT*H167 Principles of Statistics </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5" w:right="0" w:firstLine="0"/>
              <w:jc w:val="center"/>
            </w:pPr>
            <w:r>
              <w:t>3</w:t>
            </w:r>
          </w:p>
        </w:tc>
      </w:tr>
      <w:tr w:rsidR="009E30AA" w:rsidTr="00C35DC1">
        <w:trPr>
          <w:trHeight w:val="271"/>
        </w:trPr>
        <w:tc>
          <w:tcPr>
            <w:tcW w:w="2465"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Scientific Knowledge</w:t>
            </w:r>
            <w:r>
              <w:rPr>
                <w:sz w:val="14"/>
                <w:vertAlign w:val="superscript"/>
              </w:rPr>
              <w:t>◊</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BIO*H115 Human Biology </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4" w:right="0" w:firstLine="0"/>
              <w:jc w:val="center"/>
            </w:pPr>
            <w:r>
              <w:t>4</w:t>
            </w:r>
          </w:p>
        </w:tc>
      </w:tr>
      <w:tr w:rsidR="009E30AA" w:rsidTr="00C35DC1">
        <w:trPr>
          <w:trHeight w:val="271"/>
        </w:trPr>
        <w:tc>
          <w:tcPr>
            <w:tcW w:w="2465"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Scientific Reasoning</w:t>
            </w:r>
            <w:r>
              <w:rPr>
                <w:sz w:val="14"/>
                <w:vertAlign w:val="superscript"/>
              </w:rPr>
              <w:t>◊</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Choose any Scientific Reasoning listed </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5" w:right="0" w:firstLine="0"/>
              <w:jc w:val="center"/>
            </w:pPr>
            <w:r>
              <w:t>3-4</w:t>
            </w:r>
          </w:p>
        </w:tc>
      </w:tr>
      <w:tr w:rsidR="009E30AA" w:rsidTr="00C35DC1">
        <w:trPr>
          <w:trHeight w:val="271"/>
        </w:trPr>
        <w:tc>
          <w:tcPr>
            <w:tcW w:w="2465"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Social Phenomena</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Choose any Social Phenomena listed</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4" w:right="0" w:firstLine="0"/>
              <w:jc w:val="center"/>
            </w:pPr>
            <w:r>
              <w:t>3</w:t>
            </w:r>
          </w:p>
        </w:tc>
      </w:tr>
      <w:tr w:rsidR="009E30AA" w:rsidTr="00C35DC1">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0" w:right="0" w:firstLine="0"/>
              <w:jc w:val="left"/>
            </w:pPr>
            <w:r>
              <w:t>Written Communication</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Choose any Written Communication listed other than ENG*H101</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4" w:right="0" w:firstLine="0"/>
              <w:jc w:val="center"/>
            </w:pPr>
            <w:r>
              <w:t xml:space="preserve">3 </w:t>
            </w:r>
          </w:p>
        </w:tc>
      </w:tr>
      <w:tr w:rsidR="009E30AA" w:rsidTr="00C35DC1">
        <w:trPr>
          <w:trHeight w:val="271"/>
        </w:trPr>
        <w:tc>
          <w:tcPr>
            <w:tcW w:w="2465" w:type="dxa"/>
            <w:vMerge w:val="restart"/>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0" w:right="0" w:firstLine="0"/>
              <w:jc w:val="left"/>
            </w:pPr>
            <w:r>
              <w:t>Program Requirements</w:t>
            </w: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PSY*H111 General Psychology I</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4" w:right="0" w:firstLine="0"/>
              <w:jc w:val="center"/>
            </w:pPr>
            <w:r>
              <w:t>3</w:t>
            </w:r>
          </w:p>
        </w:tc>
      </w:tr>
      <w:tr w:rsidR="009E30AA" w:rsidTr="00C35DC1">
        <w:trPr>
          <w:trHeight w:val="27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PSY*H112 General Psychology II</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4" w:right="0" w:firstLine="0"/>
              <w:jc w:val="center"/>
            </w:pPr>
            <w:r>
              <w:t>3</w:t>
            </w:r>
          </w:p>
        </w:tc>
      </w:tr>
      <w:tr w:rsidR="009E30AA" w:rsidTr="00C35DC1">
        <w:trPr>
          <w:trHeight w:val="45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SOC*H101 Contemporary </w:t>
            </w:r>
          </w:p>
          <w:p w:rsidR="009E30AA" w:rsidRDefault="00AA52A7">
            <w:pPr>
              <w:spacing w:after="0" w:line="259" w:lineRule="auto"/>
              <w:ind w:left="0" w:right="0" w:firstLine="0"/>
              <w:jc w:val="left"/>
            </w:pPr>
            <w:r>
              <w:t>Social Issues</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4" w:right="0" w:firstLine="0"/>
              <w:jc w:val="center"/>
            </w:pPr>
            <w:r>
              <w:t>3</w:t>
            </w:r>
          </w:p>
        </w:tc>
      </w:tr>
      <w:tr w:rsidR="009E30AA" w:rsidTr="00C35DC1">
        <w:trPr>
          <w:trHeight w:val="45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 xml:space="preserve">SOC*H201 Contemporary </w:t>
            </w:r>
          </w:p>
          <w:p w:rsidR="009E30AA" w:rsidRDefault="00AA52A7">
            <w:pPr>
              <w:spacing w:after="0" w:line="259" w:lineRule="auto"/>
              <w:ind w:left="0" w:right="0" w:firstLine="0"/>
              <w:jc w:val="left"/>
            </w:pPr>
            <w:r>
              <w:t>Social Issues</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4" w:right="0" w:firstLine="0"/>
              <w:jc w:val="center"/>
            </w:pPr>
            <w:r>
              <w:t>3</w:t>
            </w:r>
          </w:p>
        </w:tc>
      </w:tr>
      <w:tr w:rsidR="009E30AA" w:rsidTr="00C35DC1">
        <w:trPr>
          <w:trHeight w:val="27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ANT*H101 Introduction to Anthropology</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4" w:right="0" w:firstLine="0"/>
              <w:jc w:val="center"/>
            </w:pPr>
            <w:r>
              <w:t>3</w:t>
            </w:r>
          </w:p>
        </w:tc>
      </w:tr>
      <w:tr w:rsidR="009E30AA" w:rsidTr="00C35DC1">
        <w:trPr>
          <w:trHeight w:val="27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Modern Language</w:t>
            </w:r>
            <w:r>
              <w:rPr>
                <w:sz w:val="14"/>
                <w:vertAlign w:val="superscript"/>
              </w:rPr>
              <w:t>◊◊</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5" w:right="0" w:firstLine="0"/>
              <w:jc w:val="center"/>
            </w:pPr>
            <w:r>
              <w:t>3</w:t>
            </w:r>
          </w:p>
        </w:tc>
      </w:tr>
      <w:tr w:rsidR="009E30AA" w:rsidTr="00C35DC1">
        <w:trPr>
          <w:trHeight w:val="27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Modern Language</w:t>
            </w:r>
            <w:r>
              <w:rPr>
                <w:sz w:val="14"/>
                <w:vertAlign w:val="superscript"/>
              </w:rPr>
              <w:t>◊◊</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5" w:right="0" w:firstLine="0"/>
              <w:jc w:val="center"/>
            </w:pPr>
            <w:r>
              <w:t>3</w:t>
            </w:r>
          </w:p>
        </w:tc>
      </w:tr>
      <w:tr w:rsidR="009E30AA" w:rsidTr="00C35DC1">
        <w:trPr>
          <w:trHeight w:val="63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620" w:firstLine="0"/>
            </w:pPr>
            <w:r>
              <w:t>Program Elective - Choose from any 200-level ANT*, PSY* or SOC* course</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631"/>
        </w:trPr>
        <w:tc>
          <w:tcPr>
            <w:tcW w:w="0" w:type="auto"/>
            <w:vMerge/>
            <w:tcBorders>
              <w:top w:val="nil"/>
              <w:left w:val="single" w:sz="8" w:space="0" w:color="000000"/>
              <w:bottom w:val="nil"/>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620" w:firstLine="0"/>
            </w:pPr>
            <w:r>
              <w:t>Program Elective - Choose from any 200-level ANT*, PSY* or SOC* course</w:t>
            </w:r>
          </w:p>
        </w:tc>
        <w:tc>
          <w:tcPr>
            <w:tcW w:w="1056" w:type="dxa"/>
            <w:tcBorders>
              <w:top w:val="single" w:sz="8" w:space="0" w:color="000000"/>
              <w:left w:val="single" w:sz="8" w:space="0" w:color="000000"/>
              <w:bottom w:val="single" w:sz="8" w:space="0" w:color="000000"/>
              <w:right w:val="single" w:sz="8" w:space="0" w:color="000000"/>
            </w:tcBorders>
            <w:vAlign w:val="center"/>
          </w:tcPr>
          <w:p w:rsidR="009E30AA" w:rsidRDefault="00AA52A7">
            <w:pPr>
              <w:spacing w:after="0" w:line="259" w:lineRule="auto"/>
              <w:ind w:left="15" w:right="0" w:firstLine="0"/>
              <w:jc w:val="center"/>
            </w:pPr>
            <w:r>
              <w:t>3</w:t>
            </w:r>
          </w:p>
        </w:tc>
      </w:tr>
      <w:tr w:rsidR="009E30AA" w:rsidTr="00C35DC1">
        <w:trPr>
          <w:trHeight w:val="271"/>
        </w:trPr>
        <w:tc>
          <w:tcPr>
            <w:tcW w:w="0" w:type="auto"/>
            <w:vMerge/>
            <w:tcBorders>
              <w:top w:val="nil"/>
              <w:left w:val="single" w:sz="8" w:space="0" w:color="000000"/>
              <w:bottom w:val="single" w:sz="8" w:space="0" w:color="000000"/>
              <w:right w:val="single" w:sz="8" w:space="0" w:color="000000"/>
            </w:tcBorders>
          </w:tcPr>
          <w:p w:rsidR="009E30AA" w:rsidRDefault="009E30AA">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0" w:right="0" w:firstLine="0"/>
              <w:jc w:val="left"/>
            </w:pPr>
            <w:r>
              <w:t>General Elective</w:t>
            </w:r>
          </w:p>
        </w:tc>
        <w:tc>
          <w:tcPr>
            <w:tcW w:w="1056" w:type="dxa"/>
            <w:tcBorders>
              <w:top w:val="single" w:sz="8" w:space="0" w:color="000000"/>
              <w:left w:val="single" w:sz="8" w:space="0" w:color="000000"/>
              <w:bottom w:val="single" w:sz="8" w:space="0" w:color="000000"/>
              <w:right w:val="single" w:sz="8" w:space="0" w:color="000000"/>
            </w:tcBorders>
          </w:tcPr>
          <w:p w:rsidR="009E30AA" w:rsidRDefault="00AA52A7">
            <w:pPr>
              <w:spacing w:after="0" w:line="259" w:lineRule="auto"/>
              <w:ind w:left="15" w:right="0" w:firstLine="0"/>
              <w:jc w:val="center"/>
            </w:pPr>
            <w:r>
              <w:t>3</w:t>
            </w:r>
          </w:p>
        </w:tc>
      </w:tr>
    </w:tbl>
    <w:p w:rsidR="00C35DC1" w:rsidRDefault="00C35DC1" w:rsidP="00C35DC1">
      <w:pPr>
        <w:pStyle w:val="Heading1"/>
      </w:pPr>
      <w:r>
        <w:t>Total Credits:  60-62</w:t>
      </w:r>
    </w:p>
    <w:p w:rsidR="00C35DC1" w:rsidRDefault="00C35DC1" w:rsidP="00C35DC1">
      <w:pPr>
        <w:spacing w:after="155"/>
        <w:ind w:left="13" w:right="87" w:hanging="10"/>
        <w:jc w:val="left"/>
      </w:pPr>
      <w:r>
        <w:rPr>
          <w:i/>
        </w:rPr>
        <w:t>Any given course may only be used to satisfy one of the competency areas even if it is listed under more than one.</w:t>
      </w:r>
    </w:p>
    <w:p w:rsidR="00C35DC1" w:rsidRDefault="00C35DC1" w:rsidP="00C35DC1">
      <w:pPr>
        <w:spacing w:after="89" w:line="259" w:lineRule="auto"/>
        <w:ind w:left="2" w:right="0" w:firstLine="0"/>
        <w:jc w:val="left"/>
      </w:pPr>
      <w:r>
        <w:rPr>
          <w:sz w:val="14"/>
          <w:vertAlign w:val="superscript"/>
        </w:rPr>
        <w:t>◊</w:t>
      </w:r>
      <w:r>
        <w:t xml:space="preserve">At least one Scientific Knowledge and Understanding OR Scientific </w:t>
      </w:r>
      <w:proofErr w:type="gramStart"/>
      <w:r>
        <w:t>Reasoning</w:t>
      </w:r>
      <w:proofErr w:type="gramEnd"/>
      <w:r>
        <w:t xml:space="preserve"> course must have a lab component.</w:t>
      </w:r>
    </w:p>
    <w:p w:rsidR="00C35DC1" w:rsidRDefault="00C35DC1" w:rsidP="00C35DC1">
      <w:pPr>
        <w:ind w:left="3" w:right="0" w:firstLine="0"/>
      </w:pPr>
      <w:r>
        <w:rPr>
          <w:sz w:val="14"/>
          <w:vertAlign w:val="superscript"/>
        </w:rPr>
        <w:t>◊◊</w:t>
      </w:r>
      <w:r>
        <w:t>Students completing 3 years of modern language in high school may substitute 6 credits of General Electives. Note: Some 4-year colleges may require a language proficiency exam.</w:t>
      </w:r>
    </w:p>
    <w:p w:rsidR="00C35DC1" w:rsidRDefault="00C35DC1">
      <w:pPr>
        <w:spacing w:before="118" w:after="39"/>
        <w:ind w:left="13" w:right="87" w:hanging="10"/>
        <w:jc w:val="left"/>
        <w:rPr>
          <w:i/>
        </w:rPr>
      </w:pPr>
    </w:p>
    <w:p w:rsidR="00C35DC1" w:rsidRDefault="00C35DC1">
      <w:r>
        <w:br w:type="column"/>
      </w:r>
    </w:p>
    <w:tbl>
      <w:tblPr>
        <w:tblStyle w:val="TableGrid"/>
        <w:tblW w:w="3509" w:type="dxa"/>
        <w:tblInd w:w="0" w:type="dxa"/>
        <w:tblCellMar>
          <w:top w:w="144" w:type="dxa"/>
          <w:left w:w="115" w:type="dxa"/>
          <w:right w:w="115" w:type="dxa"/>
        </w:tblCellMar>
        <w:tblLook w:val="04A0" w:firstRow="1" w:lastRow="0" w:firstColumn="1" w:lastColumn="0" w:noHBand="0" w:noVBand="1"/>
      </w:tblPr>
      <w:tblGrid>
        <w:gridCol w:w="3509"/>
      </w:tblGrid>
      <w:tr w:rsidR="00C35DC1" w:rsidTr="00C35DC1">
        <w:trPr>
          <w:trHeight w:val="410"/>
        </w:trPr>
        <w:tc>
          <w:tcPr>
            <w:tcW w:w="3509" w:type="dxa"/>
            <w:tcBorders>
              <w:top w:val="nil"/>
              <w:left w:val="nil"/>
              <w:bottom w:val="nil"/>
              <w:right w:val="nil"/>
            </w:tcBorders>
            <w:shd w:val="clear" w:color="auto" w:fill="005CA9"/>
          </w:tcPr>
          <w:p w:rsidR="00C35DC1" w:rsidRDefault="00C35DC1" w:rsidP="00C35DC1">
            <w:pPr>
              <w:spacing w:after="0" w:line="259" w:lineRule="auto"/>
              <w:ind w:left="0" w:right="0" w:firstLine="0"/>
              <w:jc w:val="center"/>
            </w:pPr>
            <w:r>
              <w:rPr>
                <w:b/>
                <w:i/>
                <w:color w:val="FFFFFF"/>
                <w:sz w:val="20"/>
              </w:rPr>
              <w:t>Program Outcomes</w:t>
            </w:r>
          </w:p>
        </w:tc>
      </w:tr>
    </w:tbl>
    <w:p w:rsidR="009E30AA" w:rsidRDefault="00AA52A7">
      <w:pPr>
        <w:spacing w:before="118" w:after="39"/>
        <w:ind w:left="13" w:right="87" w:hanging="10"/>
        <w:jc w:val="left"/>
      </w:pPr>
      <w:r>
        <w:rPr>
          <w:i/>
        </w:rPr>
        <w:t>Upon successful completion of all program requirements, graduates will be able to:</w:t>
      </w:r>
    </w:p>
    <w:p w:rsidR="009E30AA" w:rsidRDefault="00AA52A7">
      <w:pPr>
        <w:numPr>
          <w:ilvl w:val="0"/>
          <w:numId w:val="1"/>
        </w:numPr>
        <w:ind w:right="0" w:hanging="290"/>
      </w:pPr>
      <w:r>
        <w:t>Present a well-written research report that demonstrates the ability to think and write critically.</w:t>
      </w:r>
    </w:p>
    <w:p w:rsidR="009E30AA" w:rsidRDefault="00AA52A7">
      <w:pPr>
        <w:numPr>
          <w:ilvl w:val="0"/>
          <w:numId w:val="1"/>
        </w:numPr>
        <w:ind w:right="0" w:hanging="290"/>
      </w:pPr>
      <w:r>
        <w:t>Present oral reports before a group.</w:t>
      </w:r>
    </w:p>
    <w:p w:rsidR="009E30AA" w:rsidRDefault="00AA52A7">
      <w:pPr>
        <w:numPr>
          <w:ilvl w:val="0"/>
          <w:numId w:val="1"/>
        </w:numPr>
        <w:ind w:right="0" w:hanging="290"/>
      </w:pPr>
      <w:r>
        <w:t>State the major theories, processes, and research methods important in psychology</w:t>
      </w:r>
    </w:p>
    <w:p w:rsidR="009E30AA" w:rsidRDefault="00AA52A7">
      <w:pPr>
        <w:numPr>
          <w:ilvl w:val="0"/>
          <w:numId w:val="1"/>
        </w:numPr>
        <w:ind w:right="0" w:hanging="290"/>
      </w:pPr>
      <w:r>
        <w:t>State the major theories, concepts, and research methods important in sociology,</w:t>
      </w:r>
    </w:p>
    <w:p w:rsidR="009E30AA" w:rsidRDefault="00AA52A7">
      <w:pPr>
        <w:numPr>
          <w:ilvl w:val="0"/>
          <w:numId w:val="1"/>
        </w:numPr>
        <w:ind w:right="0" w:hanging="290"/>
      </w:pPr>
      <w:r>
        <w:t>Read and explain the presence and importance of behavioral science concepts in literature.</w:t>
      </w:r>
    </w:p>
    <w:p w:rsidR="009E30AA" w:rsidRDefault="00AA52A7">
      <w:pPr>
        <w:numPr>
          <w:ilvl w:val="0"/>
          <w:numId w:val="1"/>
        </w:numPr>
        <w:ind w:right="0" w:hanging="290"/>
      </w:pPr>
      <w:r>
        <w:t>Use basic psychological concepts in applied settings and circumstances.</w:t>
      </w:r>
    </w:p>
    <w:p w:rsidR="009E30AA" w:rsidRDefault="00AA52A7">
      <w:pPr>
        <w:numPr>
          <w:ilvl w:val="0"/>
          <w:numId w:val="1"/>
        </w:numPr>
        <w:ind w:right="0" w:hanging="29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163" name="Group 3163"/>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3559" name="Shape 3559"/>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9E30AA" w:rsidRDefault="00AA52A7">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9E30AA" w:rsidRDefault="00AA52A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9E30AA" w:rsidRDefault="00AA52A7">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9E30AA" w:rsidRDefault="00AA52A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9E30AA" w:rsidRDefault="00AA52A7">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3163"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">
                <v:shape id="Shape 3559"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GreMUA&#10;AADdAAAADwAAAGRycy9kb3ducmV2LnhtbESPQWvCQBSE74X+h+UVvNWNFUWjq1hRKF7UtKDHR/aZ&#10;BLNvw+4a47/vCoUeh5n5hpkvO1OLlpyvLCsY9BMQxLnVFRcKfr637xMQPiBrrC2Tggd5WC5eX+aY&#10;anvnI7VZKESEsE9RQRlCk0rp85IM+r5tiKN3sc5giNIVUju8R7ip5UeSjKXBiuNCiQ2tS8qv2c0o&#10;uLbTenXi896ZcJbHz/ax2R0ypXpv3WoGIlAX/sN/7S+tYDgaTeH5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at4xQAAAN0AAAAPAAAAAAAAAAAAAAAAAJgCAABkcnMv&#10;ZG93bnJldi54bWxQSwUGAAAAAAQABAD1AAAAigM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9E30AA" w:rsidRDefault="00AA52A7">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9E30AA" w:rsidRDefault="00AA52A7">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9E30AA" w:rsidRDefault="00AA52A7">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9E30AA" w:rsidRDefault="00AA52A7">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9E30AA" w:rsidRDefault="00AA52A7">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t>Evaluate the causes and consequences of perceived differences and inequalities among groups of people.</w:t>
      </w:r>
    </w:p>
    <w:p w:rsidR="009E30AA" w:rsidRDefault="00AA52A7">
      <w:pPr>
        <w:numPr>
          <w:ilvl w:val="0"/>
          <w:numId w:val="1"/>
        </w:numPr>
        <w:ind w:right="0" w:hanging="290"/>
      </w:pPr>
      <w:r>
        <w:t>Describe a conceptual framework for the origin of man and the development of culture.</w:t>
      </w:r>
    </w:p>
    <w:p w:rsidR="009E30AA" w:rsidRDefault="00AA52A7">
      <w:pPr>
        <w:numPr>
          <w:ilvl w:val="0"/>
          <w:numId w:val="1"/>
        </w:numPr>
        <w:ind w:right="0" w:hanging="290"/>
      </w:pPr>
      <w:r>
        <w:t>Use microcomputers to complete research in the behavioral sciences.</w:t>
      </w:r>
    </w:p>
    <w:p w:rsidR="009E30AA" w:rsidRDefault="00AA52A7">
      <w:pPr>
        <w:numPr>
          <w:ilvl w:val="0"/>
          <w:numId w:val="1"/>
        </w:numPr>
        <w:ind w:right="0" w:hanging="290"/>
      </w:pPr>
      <w:r>
        <w:t>Use statistical methods for behavioral science research.</w:t>
      </w:r>
    </w:p>
    <w:p w:rsidR="009E30AA" w:rsidRDefault="00AA52A7">
      <w:pPr>
        <w:numPr>
          <w:ilvl w:val="0"/>
          <w:numId w:val="1"/>
        </w:numPr>
        <w:ind w:right="0" w:hanging="290"/>
      </w:pPr>
      <w:r>
        <w:t>Describe the basic biological processes involved in human genetics, evolution, and physiology.</w:t>
      </w:r>
    </w:p>
    <w:p w:rsidR="009E30AA" w:rsidRDefault="00AA52A7">
      <w:pPr>
        <w:numPr>
          <w:ilvl w:val="0"/>
          <w:numId w:val="1"/>
        </w:numPr>
        <w:ind w:right="0" w:hanging="290"/>
      </w:pPr>
      <w:r>
        <w:t>Evaluate the perceived differences among groups of people.</w:t>
      </w:r>
    </w:p>
    <w:p w:rsidR="009E30AA" w:rsidRDefault="00AA52A7">
      <w:pPr>
        <w:numPr>
          <w:ilvl w:val="0"/>
          <w:numId w:val="1"/>
        </w:numPr>
        <w:spacing w:after="2627" w:line="246" w:lineRule="auto"/>
        <w:ind w:right="0" w:hanging="290"/>
      </w:pPr>
      <w:r>
        <w:t>Critically analyze the effects of biological forces on the behaviors of groups and individuals.</w:t>
      </w:r>
    </w:p>
    <w:sectPr w:rsidR="009E30AA" w:rsidSect="00C35DC1">
      <w:type w:val="continuous"/>
      <w:pgSz w:w="12240" w:h="20160" w:code="5"/>
      <w:pgMar w:top="720" w:right="720" w:bottom="720" w:left="720" w:header="720" w:footer="720" w:gutter="0"/>
      <w:cols w:num="2" w:space="288" w:equalWidth="0">
        <w:col w:w="6048" w:space="288"/>
        <w:col w:w="4464"/>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DC1" w:rsidRDefault="00C35DC1" w:rsidP="00C35DC1">
      <w:pPr>
        <w:spacing w:after="0" w:line="240" w:lineRule="auto"/>
      </w:pPr>
      <w:r>
        <w:separator/>
      </w:r>
    </w:p>
  </w:endnote>
  <w:endnote w:type="continuationSeparator" w:id="0">
    <w:p w:rsidR="00C35DC1" w:rsidRDefault="00C35DC1" w:rsidP="00C3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DC1" w:rsidRDefault="00C35DC1" w:rsidP="00C35DC1">
      <w:pPr>
        <w:spacing w:after="0" w:line="240" w:lineRule="auto"/>
      </w:pPr>
      <w:r>
        <w:separator/>
      </w:r>
    </w:p>
  </w:footnote>
  <w:footnote w:type="continuationSeparator" w:id="0">
    <w:p w:rsidR="00C35DC1" w:rsidRDefault="00C35DC1" w:rsidP="00C35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DC1" w:rsidRDefault="00C35DC1" w:rsidP="00C35DC1">
    <w:pPr>
      <w:pStyle w:val="Header"/>
      <w:jc w:val="right"/>
    </w:pPr>
    <w:r>
      <w:rPr>
        <w:rFonts w:ascii="Arial" w:eastAsia="Arial" w:hAnsi="Arial" w:cs="Arial"/>
        <w:b/>
        <w:sz w:val="28"/>
      </w:rPr>
      <w:t>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17FD"/>
    <w:multiLevelType w:val="hybridMultilevel"/>
    <w:tmpl w:val="E370BD2E"/>
    <w:lvl w:ilvl="0" w:tplc="2DD810AA">
      <w:start w:val="1"/>
      <w:numFmt w:val="decimal"/>
      <w:lvlText w:val="%1."/>
      <w:lvlJc w:val="left"/>
      <w:pPr>
        <w:ind w:left="2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8ACCD92">
      <w:start w:val="1"/>
      <w:numFmt w:val="lowerLetter"/>
      <w:lvlText w:val="%2"/>
      <w:lvlJc w:val="left"/>
      <w:pPr>
        <w:ind w:left="76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93A6C86">
      <w:start w:val="1"/>
      <w:numFmt w:val="lowerRoman"/>
      <w:lvlText w:val="%3"/>
      <w:lvlJc w:val="left"/>
      <w:pPr>
        <w:ind w:left="8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0B6833A">
      <w:start w:val="1"/>
      <w:numFmt w:val="decimal"/>
      <w:lvlText w:val="%4"/>
      <w:lvlJc w:val="left"/>
      <w:pPr>
        <w:ind w:left="90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B961312">
      <w:start w:val="1"/>
      <w:numFmt w:val="lowerLetter"/>
      <w:lvlText w:val="%5"/>
      <w:lvlJc w:val="left"/>
      <w:pPr>
        <w:ind w:left="97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AB364">
      <w:start w:val="1"/>
      <w:numFmt w:val="lowerRoman"/>
      <w:lvlText w:val="%6"/>
      <w:lvlJc w:val="left"/>
      <w:pPr>
        <w:ind w:left="105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BB4CC84">
      <w:start w:val="1"/>
      <w:numFmt w:val="decimal"/>
      <w:lvlText w:val="%7"/>
      <w:lvlJc w:val="left"/>
      <w:pPr>
        <w:ind w:left="11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1EC8F8E">
      <w:start w:val="1"/>
      <w:numFmt w:val="lowerLetter"/>
      <w:lvlText w:val="%8"/>
      <w:lvlJc w:val="left"/>
      <w:pPr>
        <w:ind w:left="119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23C4702">
      <w:start w:val="1"/>
      <w:numFmt w:val="lowerRoman"/>
      <w:lvlText w:val="%9"/>
      <w:lvlJc w:val="left"/>
      <w:pPr>
        <w:ind w:left="126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eiQkWnEHzfwUVxTt51Ya6qk0AvjZjgJiNcwWEw7P4qQQ4UuSzRVsI/6DNH3XgKBfpz/0/trUtqtjqSlDsXGM8Q==" w:salt="bQXf2zSwu/s+raH0xgLKf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AA"/>
    <w:rsid w:val="001A3841"/>
    <w:rsid w:val="009E30AA"/>
    <w:rsid w:val="00AA52A7"/>
    <w:rsid w:val="00AB4CF4"/>
    <w:rsid w:val="00C3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EDB4B-8448-47E4-B405-B66709CB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53" w:lineRule="auto"/>
      <w:ind w:left="220" w:right="416" w:hanging="22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35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DC1"/>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C35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DC1"/>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2018-09-19T18:05:00Z</dcterms:created>
  <dcterms:modified xsi:type="dcterms:W3CDTF">2018-10-22T20:55:00Z</dcterms:modified>
</cp:coreProperties>
</file>