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7F9" w:rsidRPr="004479EC" w:rsidRDefault="004479EC" w:rsidP="004479EC">
      <w:pPr>
        <w:spacing w:after="0"/>
        <w:rPr>
          <w:sz w:val="24"/>
          <w:szCs w:val="24"/>
        </w:rPr>
      </w:pPr>
      <w:r w:rsidRPr="004479EC">
        <w:rPr>
          <w:b/>
          <w:i/>
          <w:sz w:val="24"/>
          <w:szCs w:val="24"/>
        </w:rPr>
        <w:t>Course Title &amp; Number</w:t>
      </w:r>
      <w:r w:rsidRPr="004479EC">
        <w:rPr>
          <w:sz w:val="24"/>
          <w:szCs w:val="24"/>
        </w:rPr>
        <w:t>: ____________________________________________</w:t>
      </w:r>
    </w:p>
    <w:p w:rsidR="004479EC" w:rsidRPr="004479EC" w:rsidRDefault="004479EC" w:rsidP="004479EC">
      <w:pPr>
        <w:spacing w:after="0"/>
        <w:rPr>
          <w:sz w:val="24"/>
          <w:szCs w:val="24"/>
        </w:rPr>
      </w:pPr>
    </w:p>
    <w:p w:rsidR="00D54DC9" w:rsidRPr="006A4C07" w:rsidRDefault="004479EC" w:rsidP="00B3181B">
      <w:pPr>
        <w:autoSpaceDE w:val="0"/>
        <w:autoSpaceDN w:val="0"/>
        <w:adjustRightInd w:val="0"/>
        <w:spacing w:after="0" w:line="240" w:lineRule="auto"/>
        <w:rPr>
          <w:rFonts w:cs="Calibri"/>
          <w:sz w:val="24"/>
          <w:szCs w:val="24"/>
        </w:rPr>
      </w:pPr>
      <w:r w:rsidRPr="004479EC">
        <w:rPr>
          <w:b/>
          <w:i/>
          <w:sz w:val="24"/>
          <w:szCs w:val="24"/>
        </w:rPr>
        <w:t>Competency Area</w:t>
      </w:r>
      <w:r w:rsidRPr="004479EC">
        <w:rPr>
          <w:sz w:val="24"/>
          <w:szCs w:val="24"/>
        </w:rPr>
        <w:t xml:space="preserve">: </w:t>
      </w:r>
      <w:r w:rsidR="00B3181B" w:rsidRPr="00B3181B">
        <w:rPr>
          <w:b/>
          <w:sz w:val="24"/>
          <w:szCs w:val="24"/>
          <w:highlight w:val="yellow"/>
        </w:rPr>
        <w:t>HISTORICAL</w:t>
      </w:r>
      <w:r w:rsidR="00F91CF5" w:rsidRPr="00B3181B">
        <w:rPr>
          <w:b/>
          <w:sz w:val="24"/>
          <w:szCs w:val="24"/>
          <w:highlight w:val="yellow"/>
        </w:rPr>
        <w:t xml:space="preserve"> </w:t>
      </w:r>
      <w:r w:rsidR="00F91CF5" w:rsidRPr="00F91CF5">
        <w:rPr>
          <w:b/>
          <w:sz w:val="24"/>
          <w:szCs w:val="24"/>
          <w:highlight w:val="yellow"/>
        </w:rPr>
        <w:t>KNOWLEDGE / UNDERSTANDING</w:t>
      </w:r>
      <w:r w:rsidR="00F91CF5">
        <w:rPr>
          <w:sz w:val="24"/>
          <w:szCs w:val="24"/>
        </w:rPr>
        <w:t xml:space="preserve"> </w:t>
      </w:r>
      <w:r>
        <w:rPr>
          <w:sz w:val="24"/>
          <w:szCs w:val="24"/>
        </w:rPr>
        <w:t>(Goal:</w:t>
      </w:r>
      <w:r w:rsidR="00946E07" w:rsidRPr="00946E07">
        <w:rPr>
          <w:rFonts w:cs="Calibri"/>
          <w:sz w:val="24"/>
          <w:szCs w:val="24"/>
        </w:rPr>
        <w:t xml:space="preserve"> </w:t>
      </w:r>
      <w:r w:rsidR="00B3181B" w:rsidRPr="006A4C07">
        <w:rPr>
          <w:rFonts w:cs="Calibri"/>
          <w:sz w:val="24"/>
          <w:szCs w:val="24"/>
        </w:rPr>
        <w:t>Students will study the</w:t>
      </w:r>
      <w:r w:rsidR="00B3181B">
        <w:rPr>
          <w:rFonts w:cs="Calibri"/>
          <w:sz w:val="24"/>
          <w:szCs w:val="24"/>
        </w:rPr>
        <w:t xml:space="preserve"> </w:t>
      </w:r>
      <w:r w:rsidR="00B3181B" w:rsidRPr="006A4C07">
        <w:rPr>
          <w:rFonts w:cs="Calibri"/>
          <w:sz w:val="24"/>
          <w:szCs w:val="24"/>
        </w:rPr>
        <w:t>interrelatedness of various</w:t>
      </w:r>
      <w:r w:rsidR="00B3181B">
        <w:rPr>
          <w:rFonts w:cs="Calibri"/>
          <w:sz w:val="24"/>
          <w:szCs w:val="24"/>
        </w:rPr>
        <w:t xml:space="preserve"> </w:t>
      </w:r>
      <w:r w:rsidR="00B3181B" w:rsidRPr="006A4C07">
        <w:rPr>
          <w:rFonts w:cs="Calibri"/>
          <w:sz w:val="24"/>
          <w:szCs w:val="24"/>
        </w:rPr>
        <w:t>realms of human experience</w:t>
      </w:r>
      <w:r w:rsidR="00B3181B">
        <w:rPr>
          <w:rFonts w:cs="Calibri"/>
          <w:sz w:val="24"/>
          <w:szCs w:val="24"/>
        </w:rPr>
        <w:t xml:space="preserve"> </w:t>
      </w:r>
      <w:r w:rsidR="00B3181B" w:rsidRPr="006A4C07">
        <w:rPr>
          <w:rFonts w:cs="Calibri"/>
          <w:sz w:val="24"/>
          <w:szCs w:val="24"/>
        </w:rPr>
        <w:t>from multiple historical</w:t>
      </w:r>
      <w:r w:rsidR="00B3181B">
        <w:rPr>
          <w:rFonts w:cs="Calibri"/>
          <w:sz w:val="24"/>
          <w:szCs w:val="24"/>
        </w:rPr>
        <w:t xml:space="preserve"> </w:t>
      </w:r>
      <w:r w:rsidR="00B3181B" w:rsidRPr="006A4C07">
        <w:rPr>
          <w:rFonts w:cs="Calibri"/>
          <w:sz w:val="24"/>
          <w:szCs w:val="24"/>
        </w:rPr>
        <w:t>perspectives.</w:t>
      </w:r>
      <w:r w:rsidR="00B3181B">
        <w:rPr>
          <w:rFonts w:cs="Calibri"/>
          <w:sz w:val="24"/>
          <w:szCs w:val="24"/>
        </w:rPr>
        <w:t>)</w:t>
      </w:r>
    </w:p>
    <w:p w:rsidR="00D54DC9" w:rsidRPr="006A4C07" w:rsidRDefault="00D54DC9" w:rsidP="00D54DC9">
      <w:pPr>
        <w:autoSpaceDE w:val="0"/>
        <w:autoSpaceDN w:val="0"/>
        <w:adjustRightInd w:val="0"/>
        <w:spacing w:after="0" w:line="240" w:lineRule="auto"/>
        <w:rPr>
          <w:rFonts w:cs="Calibri"/>
          <w:sz w:val="24"/>
          <w:szCs w:val="24"/>
        </w:rPr>
      </w:pPr>
    </w:p>
    <w:p w:rsidR="004479EC" w:rsidRPr="004479EC" w:rsidRDefault="004479EC" w:rsidP="004479EC">
      <w:pPr>
        <w:spacing w:after="0"/>
        <w:rPr>
          <w:sz w:val="24"/>
          <w:szCs w:val="24"/>
        </w:rPr>
      </w:pPr>
      <w:r w:rsidRPr="004479EC">
        <w:rPr>
          <w:b/>
          <w:i/>
          <w:sz w:val="24"/>
          <w:szCs w:val="24"/>
        </w:rPr>
        <w:t>Faculty submitting the Learning Outcomes</w:t>
      </w:r>
      <w:r w:rsidRPr="004479EC">
        <w:rPr>
          <w:sz w:val="24"/>
          <w:szCs w:val="24"/>
        </w:rPr>
        <w:t>: ____________________________</w:t>
      </w:r>
      <w:r>
        <w:rPr>
          <w:sz w:val="24"/>
          <w:szCs w:val="24"/>
        </w:rPr>
        <w:t xml:space="preserve">                                                                       </w:t>
      </w:r>
      <w:r w:rsidRPr="004479EC">
        <w:rPr>
          <w:b/>
          <w:i/>
          <w:sz w:val="24"/>
          <w:szCs w:val="24"/>
        </w:rPr>
        <w:t>Date</w:t>
      </w:r>
      <w:r>
        <w:rPr>
          <w:sz w:val="24"/>
          <w:szCs w:val="24"/>
        </w:rPr>
        <w:t>: ___________________</w:t>
      </w:r>
    </w:p>
    <w:p w:rsidR="00AE651D" w:rsidRDefault="00AE651D" w:rsidP="00AE651D">
      <w:pPr>
        <w:spacing w:after="0"/>
        <w:rPr>
          <w:b/>
          <w:sz w:val="24"/>
          <w:szCs w:val="24"/>
        </w:rPr>
      </w:pPr>
    </w:p>
    <w:p w:rsidR="00AE651D" w:rsidRPr="004479EC" w:rsidRDefault="00AE651D" w:rsidP="00AE651D">
      <w:pPr>
        <w:spacing w:after="0"/>
        <w:rPr>
          <w:sz w:val="24"/>
          <w:szCs w:val="24"/>
        </w:rPr>
      </w:pPr>
      <w:r>
        <w:rPr>
          <w:b/>
          <w:sz w:val="24"/>
          <w:szCs w:val="24"/>
        </w:rPr>
        <w:t>[</w:t>
      </w:r>
      <w:r w:rsidRPr="00870BE6">
        <w:rPr>
          <w:b/>
          <w:sz w:val="24"/>
          <w:szCs w:val="24"/>
        </w:rPr>
        <w:t>Instructions:</w:t>
      </w:r>
      <w:r>
        <w:rPr>
          <w:sz w:val="24"/>
          <w:szCs w:val="24"/>
        </w:rPr>
        <w:t xml:space="preserve">  </w:t>
      </w:r>
      <w:r w:rsidRPr="00335430">
        <w:rPr>
          <w:i/>
          <w:sz w:val="24"/>
          <w:szCs w:val="24"/>
        </w:rPr>
        <w:t>Please match the Learning Outcomes in the left hand column to those of the course you are submitting for Gen Ed approval.  List the corresponding course outcomes in the right hand column to indicate a match</w:t>
      </w:r>
      <w:r>
        <w:rPr>
          <w:sz w:val="24"/>
          <w:szCs w:val="24"/>
        </w:rPr>
        <w:t>.]</w:t>
      </w:r>
    </w:p>
    <w:p w:rsidR="004479EC" w:rsidRPr="00335430" w:rsidRDefault="004479EC" w:rsidP="004479EC">
      <w:pPr>
        <w:spacing w:after="0"/>
        <w:rPr>
          <w:sz w:val="16"/>
          <w:szCs w:val="16"/>
        </w:rPr>
      </w:pPr>
    </w:p>
    <w:tbl>
      <w:tblPr>
        <w:tblStyle w:val="TableGrid"/>
        <w:tblW w:w="0" w:type="auto"/>
        <w:tblLook w:val="04A0"/>
      </w:tblPr>
      <w:tblGrid>
        <w:gridCol w:w="7308"/>
        <w:gridCol w:w="7308"/>
      </w:tblGrid>
      <w:tr w:rsidR="004479EC" w:rsidRPr="004479EC" w:rsidTr="004479EC">
        <w:tc>
          <w:tcPr>
            <w:tcW w:w="7308" w:type="dxa"/>
            <w:shd w:val="clear" w:color="auto" w:fill="D9D9D9" w:themeFill="background1" w:themeFillShade="D9"/>
          </w:tcPr>
          <w:p w:rsidR="004479EC" w:rsidRPr="004479EC" w:rsidRDefault="00AE651D" w:rsidP="004479EC">
            <w:pPr>
              <w:jc w:val="center"/>
              <w:rPr>
                <w:b/>
                <w:sz w:val="24"/>
                <w:szCs w:val="24"/>
              </w:rPr>
            </w:pPr>
            <w:r>
              <w:rPr>
                <w:b/>
                <w:sz w:val="24"/>
                <w:szCs w:val="24"/>
              </w:rPr>
              <w:t xml:space="preserve">BOR TAP’s </w:t>
            </w:r>
            <w:r w:rsidR="004479EC" w:rsidRPr="004479EC">
              <w:rPr>
                <w:b/>
                <w:sz w:val="24"/>
                <w:szCs w:val="24"/>
              </w:rPr>
              <w:t>Learning Outcomes</w:t>
            </w:r>
          </w:p>
        </w:tc>
        <w:tc>
          <w:tcPr>
            <w:tcW w:w="7308" w:type="dxa"/>
            <w:shd w:val="clear" w:color="auto" w:fill="D9D9D9" w:themeFill="background1" w:themeFillShade="D9"/>
          </w:tcPr>
          <w:p w:rsidR="004479EC" w:rsidRPr="004479EC" w:rsidRDefault="00AE651D" w:rsidP="00AE651D">
            <w:pPr>
              <w:jc w:val="center"/>
              <w:rPr>
                <w:b/>
                <w:sz w:val="24"/>
                <w:szCs w:val="24"/>
              </w:rPr>
            </w:pPr>
            <w:r w:rsidRPr="004479EC">
              <w:rPr>
                <w:b/>
                <w:sz w:val="24"/>
                <w:szCs w:val="24"/>
              </w:rPr>
              <w:t>Corresponding Outcomes</w:t>
            </w:r>
            <w:r>
              <w:rPr>
                <w:b/>
                <w:sz w:val="24"/>
                <w:szCs w:val="24"/>
              </w:rPr>
              <w:t xml:space="preserve"> for Course Named Above</w:t>
            </w:r>
          </w:p>
        </w:tc>
      </w:tr>
      <w:tr w:rsidR="004479EC" w:rsidRPr="004479EC" w:rsidTr="004479EC">
        <w:tc>
          <w:tcPr>
            <w:tcW w:w="7308" w:type="dxa"/>
          </w:tcPr>
          <w:p w:rsidR="00B3181B" w:rsidRDefault="00B3181B" w:rsidP="00B3181B">
            <w:pPr>
              <w:autoSpaceDE w:val="0"/>
              <w:autoSpaceDN w:val="0"/>
              <w:adjustRightInd w:val="0"/>
              <w:rPr>
                <w:rFonts w:cs="Calibri"/>
                <w:sz w:val="24"/>
                <w:szCs w:val="24"/>
              </w:rPr>
            </w:pPr>
          </w:p>
          <w:p w:rsidR="00B3181B" w:rsidRDefault="00B3181B" w:rsidP="00B3181B">
            <w:pPr>
              <w:autoSpaceDE w:val="0"/>
              <w:autoSpaceDN w:val="0"/>
              <w:adjustRightInd w:val="0"/>
              <w:rPr>
                <w:rFonts w:cs="Calibri"/>
                <w:sz w:val="24"/>
                <w:szCs w:val="24"/>
              </w:rPr>
            </w:pPr>
            <w:r w:rsidRPr="006A4C07">
              <w:rPr>
                <w:rFonts w:cs="Calibri"/>
                <w:sz w:val="24"/>
                <w:szCs w:val="24"/>
              </w:rPr>
              <w:t xml:space="preserve">1. Identify and differentiate types of historical sources including popular, </w:t>
            </w:r>
          </w:p>
          <w:p w:rsidR="00B3181B" w:rsidRPr="006A4C07" w:rsidRDefault="00B3181B" w:rsidP="00B3181B">
            <w:pPr>
              <w:autoSpaceDE w:val="0"/>
              <w:autoSpaceDN w:val="0"/>
              <w:adjustRightInd w:val="0"/>
              <w:rPr>
                <w:rFonts w:cs="Calibri"/>
                <w:sz w:val="24"/>
                <w:szCs w:val="24"/>
              </w:rPr>
            </w:pPr>
            <w:r>
              <w:rPr>
                <w:rFonts w:cs="Calibri"/>
                <w:sz w:val="24"/>
                <w:szCs w:val="24"/>
              </w:rPr>
              <w:t xml:space="preserve">    </w:t>
            </w:r>
            <w:proofErr w:type="gramStart"/>
            <w:r w:rsidRPr="006A4C07">
              <w:rPr>
                <w:rFonts w:cs="Calibri"/>
                <w:sz w:val="24"/>
                <w:szCs w:val="24"/>
              </w:rPr>
              <w:t>academic</w:t>
            </w:r>
            <w:proofErr w:type="gramEnd"/>
            <w:r w:rsidRPr="006A4C07">
              <w:rPr>
                <w:rFonts w:cs="Calibri"/>
                <w:sz w:val="24"/>
                <w:szCs w:val="24"/>
              </w:rPr>
              <w:t>, primary and secondary.</w:t>
            </w:r>
          </w:p>
          <w:p w:rsidR="00EB6AD4" w:rsidRPr="00946E07" w:rsidRDefault="00EB6AD4" w:rsidP="00B3181B">
            <w:pPr>
              <w:autoSpaceDE w:val="0"/>
              <w:autoSpaceDN w:val="0"/>
              <w:adjustRightInd w:val="0"/>
              <w:rPr>
                <w:sz w:val="24"/>
                <w:szCs w:val="24"/>
              </w:rPr>
            </w:pPr>
          </w:p>
        </w:tc>
        <w:tc>
          <w:tcPr>
            <w:tcW w:w="7308" w:type="dxa"/>
          </w:tcPr>
          <w:p w:rsidR="004479EC" w:rsidRPr="004479EC" w:rsidRDefault="004479EC" w:rsidP="004479EC">
            <w:pPr>
              <w:rPr>
                <w:sz w:val="24"/>
                <w:szCs w:val="24"/>
              </w:rPr>
            </w:pPr>
          </w:p>
        </w:tc>
      </w:tr>
      <w:tr w:rsidR="004479EC" w:rsidRPr="004479EC" w:rsidTr="004479EC">
        <w:tc>
          <w:tcPr>
            <w:tcW w:w="7308" w:type="dxa"/>
          </w:tcPr>
          <w:p w:rsidR="00B3181B" w:rsidRDefault="00B3181B" w:rsidP="00B3181B">
            <w:pPr>
              <w:autoSpaceDE w:val="0"/>
              <w:autoSpaceDN w:val="0"/>
              <w:adjustRightInd w:val="0"/>
              <w:rPr>
                <w:rFonts w:cs="Calibri"/>
                <w:sz w:val="24"/>
                <w:szCs w:val="24"/>
              </w:rPr>
            </w:pPr>
          </w:p>
          <w:p w:rsidR="00B3181B" w:rsidRPr="006A4C07" w:rsidRDefault="00B3181B" w:rsidP="00B3181B">
            <w:pPr>
              <w:autoSpaceDE w:val="0"/>
              <w:autoSpaceDN w:val="0"/>
              <w:adjustRightInd w:val="0"/>
              <w:rPr>
                <w:rFonts w:cs="Calibri"/>
                <w:sz w:val="24"/>
                <w:szCs w:val="24"/>
              </w:rPr>
            </w:pPr>
            <w:r w:rsidRPr="006A4C07">
              <w:rPr>
                <w:rFonts w:cs="Calibri"/>
                <w:sz w:val="24"/>
                <w:szCs w:val="24"/>
              </w:rPr>
              <w:t>2. Recognize ever‐changing interpretations of history.</w:t>
            </w:r>
          </w:p>
          <w:p w:rsidR="002F440D" w:rsidRPr="004479EC" w:rsidRDefault="002F440D" w:rsidP="00EB6AD4">
            <w:pPr>
              <w:autoSpaceDE w:val="0"/>
              <w:autoSpaceDN w:val="0"/>
              <w:adjustRightInd w:val="0"/>
              <w:rPr>
                <w:sz w:val="24"/>
                <w:szCs w:val="24"/>
              </w:rPr>
            </w:pPr>
          </w:p>
        </w:tc>
        <w:tc>
          <w:tcPr>
            <w:tcW w:w="7308" w:type="dxa"/>
          </w:tcPr>
          <w:p w:rsidR="004479EC" w:rsidRDefault="004479EC" w:rsidP="004479EC">
            <w:pPr>
              <w:rPr>
                <w:sz w:val="24"/>
                <w:szCs w:val="24"/>
              </w:rPr>
            </w:pPr>
          </w:p>
          <w:p w:rsidR="004479EC" w:rsidRDefault="004479EC" w:rsidP="004479EC">
            <w:pPr>
              <w:rPr>
                <w:sz w:val="24"/>
                <w:szCs w:val="24"/>
              </w:rPr>
            </w:pPr>
          </w:p>
          <w:p w:rsidR="00B64D0A" w:rsidRPr="004479EC" w:rsidRDefault="00B64D0A" w:rsidP="004479EC">
            <w:pPr>
              <w:rPr>
                <w:sz w:val="24"/>
                <w:szCs w:val="24"/>
              </w:rPr>
            </w:pPr>
          </w:p>
        </w:tc>
      </w:tr>
      <w:tr w:rsidR="00B64D0A" w:rsidRPr="004479EC" w:rsidTr="004479EC">
        <w:tc>
          <w:tcPr>
            <w:tcW w:w="7308" w:type="dxa"/>
          </w:tcPr>
          <w:p w:rsidR="00B3181B" w:rsidRDefault="00B3181B" w:rsidP="00B3181B">
            <w:pPr>
              <w:autoSpaceDE w:val="0"/>
              <w:autoSpaceDN w:val="0"/>
              <w:adjustRightInd w:val="0"/>
              <w:rPr>
                <w:rFonts w:cs="Calibri"/>
                <w:sz w:val="24"/>
                <w:szCs w:val="24"/>
              </w:rPr>
            </w:pPr>
          </w:p>
          <w:p w:rsidR="00B3181B" w:rsidRDefault="00B3181B" w:rsidP="00B3181B">
            <w:pPr>
              <w:autoSpaceDE w:val="0"/>
              <w:autoSpaceDN w:val="0"/>
              <w:adjustRightInd w:val="0"/>
              <w:rPr>
                <w:rFonts w:cs="Calibri"/>
                <w:sz w:val="24"/>
                <w:szCs w:val="24"/>
              </w:rPr>
            </w:pPr>
            <w:r w:rsidRPr="006A4C07">
              <w:rPr>
                <w:rFonts w:cs="Calibri"/>
                <w:sz w:val="24"/>
                <w:szCs w:val="24"/>
              </w:rPr>
              <w:t xml:space="preserve">3. Place the development of societies in national and/or international </w:t>
            </w:r>
          </w:p>
          <w:p w:rsidR="00B3181B" w:rsidRPr="006A4C07" w:rsidRDefault="00B3181B" w:rsidP="00B3181B">
            <w:pPr>
              <w:autoSpaceDE w:val="0"/>
              <w:autoSpaceDN w:val="0"/>
              <w:adjustRightInd w:val="0"/>
              <w:rPr>
                <w:rFonts w:cs="Calibri"/>
                <w:sz w:val="24"/>
                <w:szCs w:val="24"/>
              </w:rPr>
            </w:pPr>
            <w:r>
              <w:rPr>
                <w:rFonts w:cs="Calibri"/>
                <w:sz w:val="24"/>
                <w:szCs w:val="24"/>
              </w:rPr>
              <w:t xml:space="preserve">    </w:t>
            </w:r>
            <w:proofErr w:type="gramStart"/>
            <w:r w:rsidRPr="006A4C07">
              <w:rPr>
                <w:rFonts w:cs="Calibri"/>
                <w:sz w:val="24"/>
                <w:szCs w:val="24"/>
              </w:rPr>
              <w:t>contexts</w:t>
            </w:r>
            <w:proofErr w:type="gramEnd"/>
            <w:r w:rsidRPr="006A4C07">
              <w:rPr>
                <w:rFonts w:cs="Calibri"/>
                <w:sz w:val="24"/>
                <w:szCs w:val="24"/>
              </w:rPr>
              <w:t>.</w:t>
            </w:r>
          </w:p>
          <w:p w:rsidR="002F440D" w:rsidRDefault="002F440D" w:rsidP="004479EC">
            <w:pPr>
              <w:rPr>
                <w:sz w:val="24"/>
                <w:szCs w:val="24"/>
              </w:rPr>
            </w:pPr>
          </w:p>
        </w:tc>
        <w:tc>
          <w:tcPr>
            <w:tcW w:w="7308" w:type="dxa"/>
          </w:tcPr>
          <w:p w:rsidR="00B64D0A" w:rsidRDefault="00B64D0A" w:rsidP="004479EC">
            <w:pPr>
              <w:rPr>
                <w:sz w:val="24"/>
                <w:szCs w:val="24"/>
              </w:rPr>
            </w:pPr>
          </w:p>
        </w:tc>
      </w:tr>
      <w:tr w:rsidR="005F7714" w:rsidRPr="004479EC" w:rsidTr="004479EC">
        <w:tc>
          <w:tcPr>
            <w:tcW w:w="7308" w:type="dxa"/>
          </w:tcPr>
          <w:p w:rsidR="00BD3E37" w:rsidRDefault="00BD3E37" w:rsidP="004479EC">
            <w:pPr>
              <w:rPr>
                <w:sz w:val="24"/>
                <w:szCs w:val="24"/>
              </w:rPr>
            </w:pPr>
          </w:p>
          <w:p w:rsidR="00B3181B" w:rsidRDefault="00B3181B" w:rsidP="00B3181B">
            <w:pPr>
              <w:autoSpaceDE w:val="0"/>
              <w:autoSpaceDN w:val="0"/>
              <w:adjustRightInd w:val="0"/>
              <w:rPr>
                <w:rFonts w:cs="Calibri"/>
                <w:sz w:val="24"/>
                <w:szCs w:val="24"/>
              </w:rPr>
            </w:pPr>
            <w:r w:rsidRPr="006A4C07">
              <w:rPr>
                <w:rFonts w:cs="Calibri"/>
                <w:sz w:val="24"/>
                <w:szCs w:val="24"/>
              </w:rPr>
              <w:t xml:space="preserve">4. Explain the influence and agency of social circumstances, which may </w:t>
            </w:r>
          </w:p>
          <w:p w:rsidR="00B3181B" w:rsidRPr="006A4C07" w:rsidRDefault="00B3181B" w:rsidP="00B3181B">
            <w:pPr>
              <w:autoSpaceDE w:val="0"/>
              <w:autoSpaceDN w:val="0"/>
              <w:adjustRightInd w:val="0"/>
              <w:rPr>
                <w:rFonts w:cs="Calibri"/>
                <w:sz w:val="24"/>
                <w:szCs w:val="24"/>
              </w:rPr>
            </w:pPr>
            <w:r>
              <w:rPr>
                <w:rFonts w:cs="Calibri"/>
                <w:sz w:val="24"/>
                <w:szCs w:val="24"/>
              </w:rPr>
              <w:t xml:space="preserve">     </w:t>
            </w:r>
            <w:proofErr w:type="gramStart"/>
            <w:r w:rsidRPr="006A4C07">
              <w:rPr>
                <w:rFonts w:cs="Calibri"/>
                <w:sz w:val="24"/>
                <w:szCs w:val="24"/>
              </w:rPr>
              <w:t>include</w:t>
            </w:r>
            <w:proofErr w:type="gramEnd"/>
            <w:r w:rsidRPr="006A4C07">
              <w:rPr>
                <w:rFonts w:cs="Calibri"/>
                <w:sz w:val="24"/>
                <w:szCs w:val="24"/>
              </w:rPr>
              <w:t xml:space="preserve"> race, class, gender, and others, on</w:t>
            </w:r>
            <w:r>
              <w:rPr>
                <w:rFonts w:cs="Calibri"/>
                <w:sz w:val="24"/>
                <w:szCs w:val="24"/>
              </w:rPr>
              <w:t xml:space="preserve"> </w:t>
            </w:r>
            <w:r w:rsidRPr="006A4C07">
              <w:rPr>
                <w:rFonts w:cs="Calibri"/>
                <w:sz w:val="24"/>
                <w:szCs w:val="24"/>
              </w:rPr>
              <w:t>historical events.</w:t>
            </w:r>
          </w:p>
          <w:p w:rsidR="00D54DC9" w:rsidRDefault="00D54DC9" w:rsidP="004479EC">
            <w:pPr>
              <w:rPr>
                <w:sz w:val="24"/>
                <w:szCs w:val="24"/>
              </w:rPr>
            </w:pPr>
          </w:p>
        </w:tc>
        <w:tc>
          <w:tcPr>
            <w:tcW w:w="7308" w:type="dxa"/>
          </w:tcPr>
          <w:p w:rsidR="005F7714" w:rsidRDefault="005F7714" w:rsidP="004479EC">
            <w:pPr>
              <w:rPr>
                <w:sz w:val="24"/>
                <w:szCs w:val="24"/>
              </w:rPr>
            </w:pPr>
          </w:p>
        </w:tc>
      </w:tr>
      <w:tr w:rsidR="00B3181B" w:rsidRPr="004479EC" w:rsidTr="004479EC">
        <w:tc>
          <w:tcPr>
            <w:tcW w:w="7308" w:type="dxa"/>
          </w:tcPr>
          <w:p w:rsidR="00B3181B" w:rsidRDefault="00B3181B" w:rsidP="00B3181B">
            <w:pPr>
              <w:autoSpaceDE w:val="0"/>
              <w:autoSpaceDN w:val="0"/>
              <w:adjustRightInd w:val="0"/>
              <w:rPr>
                <w:rFonts w:cs="Calibri"/>
                <w:sz w:val="24"/>
                <w:szCs w:val="24"/>
              </w:rPr>
            </w:pPr>
          </w:p>
          <w:p w:rsidR="00B3181B" w:rsidRDefault="00B3181B" w:rsidP="00B3181B">
            <w:pPr>
              <w:autoSpaceDE w:val="0"/>
              <w:autoSpaceDN w:val="0"/>
              <w:adjustRightInd w:val="0"/>
              <w:rPr>
                <w:rFonts w:cs="Calibri"/>
                <w:sz w:val="24"/>
                <w:szCs w:val="24"/>
              </w:rPr>
            </w:pPr>
            <w:r w:rsidRPr="006A4C07">
              <w:rPr>
                <w:rFonts w:cs="Calibri"/>
                <w:sz w:val="24"/>
                <w:szCs w:val="24"/>
              </w:rPr>
              <w:t xml:space="preserve">5. Describe the impact of the past on subsequent events, including the </w:t>
            </w:r>
          </w:p>
          <w:p w:rsidR="00B3181B" w:rsidRPr="006A4C07" w:rsidRDefault="00B3181B" w:rsidP="00B3181B">
            <w:pPr>
              <w:autoSpaceDE w:val="0"/>
              <w:autoSpaceDN w:val="0"/>
              <w:adjustRightInd w:val="0"/>
              <w:rPr>
                <w:rFonts w:cs="Calibri"/>
                <w:sz w:val="24"/>
                <w:szCs w:val="24"/>
              </w:rPr>
            </w:pPr>
            <w:r>
              <w:rPr>
                <w:rFonts w:cs="Calibri"/>
                <w:sz w:val="24"/>
                <w:szCs w:val="24"/>
              </w:rPr>
              <w:t xml:space="preserve">     </w:t>
            </w:r>
            <w:proofErr w:type="gramStart"/>
            <w:r w:rsidRPr="006A4C07">
              <w:rPr>
                <w:rFonts w:cs="Calibri"/>
                <w:sz w:val="24"/>
                <w:szCs w:val="24"/>
              </w:rPr>
              <w:t>present</w:t>
            </w:r>
            <w:proofErr w:type="gramEnd"/>
            <w:r w:rsidRPr="006A4C07">
              <w:rPr>
                <w:rFonts w:cs="Calibri"/>
                <w:sz w:val="24"/>
                <w:szCs w:val="24"/>
              </w:rPr>
              <w:t>.</w:t>
            </w:r>
          </w:p>
          <w:p w:rsidR="00B3181B" w:rsidRDefault="00B3181B" w:rsidP="004479EC">
            <w:pPr>
              <w:rPr>
                <w:sz w:val="24"/>
                <w:szCs w:val="24"/>
              </w:rPr>
            </w:pPr>
          </w:p>
        </w:tc>
        <w:tc>
          <w:tcPr>
            <w:tcW w:w="7308" w:type="dxa"/>
          </w:tcPr>
          <w:p w:rsidR="00B3181B" w:rsidRDefault="00B3181B" w:rsidP="004479EC">
            <w:pPr>
              <w:rPr>
                <w:sz w:val="24"/>
                <w:szCs w:val="24"/>
              </w:rPr>
            </w:pPr>
          </w:p>
        </w:tc>
      </w:tr>
      <w:tr w:rsidR="00B3181B" w:rsidRPr="004479EC" w:rsidTr="004479EC">
        <w:tc>
          <w:tcPr>
            <w:tcW w:w="7308" w:type="dxa"/>
          </w:tcPr>
          <w:p w:rsidR="00B3181B" w:rsidRDefault="00B3181B" w:rsidP="00B3181B">
            <w:pPr>
              <w:autoSpaceDE w:val="0"/>
              <w:autoSpaceDN w:val="0"/>
              <w:adjustRightInd w:val="0"/>
              <w:rPr>
                <w:rFonts w:cs="Calibri"/>
                <w:sz w:val="24"/>
                <w:szCs w:val="24"/>
              </w:rPr>
            </w:pPr>
          </w:p>
          <w:p w:rsidR="00B3181B" w:rsidRPr="006A4C07" w:rsidRDefault="00B3181B" w:rsidP="00B3181B">
            <w:pPr>
              <w:autoSpaceDE w:val="0"/>
              <w:autoSpaceDN w:val="0"/>
              <w:adjustRightInd w:val="0"/>
              <w:rPr>
                <w:rFonts w:cs="Calibri"/>
                <w:sz w:val="24"/>
                <w:szCs w:val="24"/>
              </w:rPr>
            </w:pPr>
            <w:r w:rsidRPr="006A4C07">
              <w:rPr>
                <w:rFonts w:cs="Calibri"/>
                <w:sz w:val="24"/>
                <w:szCs w:val="24"/>
              </w:rPr>
              <w:t>6. Examine the complex, dynamic, and interrelated nature of change.</w:t>
            </w:r>
          </w:p>
          <w:p w:rsidR="00B3181B" w:rsidRPr="006A4C07" w:rsidRDefault="00B3181B" w:rsidP="00B3181B">
            <w:pPr>
              <w:autoSpaceDE w:val="0"/>
              <w:autoSpaceDN w:val="0"/>
              <w:adjustRightInd w:val="0"/>
              <w:rPr>
                <w:rFonts w:cs="Calibri"/>
                <w:sz w:val="24"/>
                <w:szCs w:val="24"/>
              </w:rPr>
            </w:pPr>
          </w:p>
        </w:tc>
        <w:tc>
          <w:tcPr>
            <w:tcW w:w="7308" w:type="dxa"/>
          </w:tcPr>
          <w:p w:rsidR="00B3181B" w:rsidRDefault="00B3181B" w:rsidP="004479EC">
            <w:pPr>
              <w:rPr>
                <w:sz w:val="24"/>
                <w:szCs w:val="24"/>
              </w:rPr>
            </w:pPr>
          </w:p>
        </w:tc>
      </w:tr>
      <w:tr w:rsidR="00B3181B" w:rsidRPr="004479EC" w:rsidTr="004479EC">
        <w:tc>
          <w:tcPr>
            <w:tcW w:w="7308" w:type="dxa"/>
          </w:tcPr>
          <w:p w:rsidR="00B3181B" w:rsidRDefault="00B3181B" w:rsidP="00B3181B">
            <w:pPr>
              <w:autoSpaceDE w:val="0"/>
              <w:autoSpaceDN w:val="0"/>
              <w:adjustRightInd w:val="0"/>
              <w:rPr>
                <w:rFonts w:cs="Calibri"/>
                <w:sz w:val="24"/>
                <w:szCs w:val="24"/>
              </w:rPr>
            </w:pPr>
          </w:p>
        </w:tc>
        <w:tc>
          <w:tcPr>
            <w:tcW w:w="7308" w:type="dxa"/>
          </w:tcPr>
          <w:p w:rsidR="00B3181B" w:rsidRDefault="00B3181B" w:rsidP="004479EC">
            <w:pPr>
              <w:rPr>
                <w:sz w:val="24"/>
                <w:szCs w:val="24"/>
              </w:rPr>
            </w:pPr>
          </w:p>
          <w:p w:rsidR="00335430" w:rsidRDefault="00335430" w:rsidP="00335430">
            <w:pPr>
              <w:rPr>
                <w:b/>
                <w:i/>
                <w:sz w:val="24"/>
                <w:szCs w:val="24"/>
              </w:rPr>
            </w:pPr>
            <w:r w:rsidRPr="00152951">
              <w:rPr>
                <w:b/>
                <w:i/>
                <w:sz w:val="24"/>
                <w:szCs w:val="24"/>
              </w:rPr>
              <w:t>Additional Outcomes</w:t>
            </w:r>
          </w:p>
          <w:p w:rsidR="00335430" w:rsidRDefault="00335430" w:rsidP="004479EC">
            <w:pPr>
              <w:rPr>
                <w:sz w:val="24"/>
                <w:szCs w:val="24"/>
              </w:rPr>
            </w:pPr>
          </w:p>
          <w:p w:rsidR="00335430" w:rsidRDefault="00335430" w:rsidP="004479EC">
            <w:pPr>
              <w:rPr>
                <w:sz w:val="24"/>
                <w:szCs w:val="24"/>
              </w:rPr>
            </w:pPr>
          </w:p>
          <w:p w:rsidR="00335430" w:rsidRDefault="00335430" w:rsidP="004479EC">
            <w:pPr>
              <w:rPr>
                <w:sz w:val="24"/>
                <w:szCs w:val="24"/>
              </w:rPr>
            </w:pPr>
          </w:p>
        </w:tc>
      </w:tr>
    </w:tbl>
    <w:p w:rsidR="004479EC" w:rsidRPr="004479EC" w:rsidRDefault="004479EC" w:rsidP="005F7714">
      <w:pPr>
        <w:spacing w:after="0"/>
        <w:rPr>
          <w:sz w:val="24"/>
          <w:szCs w:val="24"/>
        </w:rPr>
      </w:pPr>
    </w:p>
    <w:sectPr w:rsidR="004479EC" w:rsidRPr="004479EC" w:rsidSect="004479EC">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7307D"/>
    <w:multiLevelType w:val="multilevel"/>
    <w:tmpl w:val="2FD6734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453954D3"/>
    <w:multiLevelType w:val="hybridMultilevel"/>
    <w:tmpl w:val="2532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C947C7"/>
    <w:multiLevelType w:val="hybridMultilevel"/>
    <w:tmpl w:val="182A7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479EC"/>
    <w:rsid w:val="00152951"/>
    <w:rsid w:val="00257C65"/>
    <w:rsid w:val="002F4322"/>
    <w:rsid w:val="002F440D"/>
    <w:rsid w:val="00335430"/>
    <w:rsid w:val="004479EC"/>
    <w:rsid w:val="00466921"/>
    <w:rsid w:val="004F563C"/>
    <w:rsid w:val="005F7714"/>
    <w:rsid w:val="00795CC5"/>
    <w:rsid w:val="008F5709"/>
    <w:rsid w:val="00946E07"/>
    <w:rsid w:val="00A773C7"/>
    <w:rsid w:val="00A92BA6"/>
    <w:rsid w:val="00AE651D"/>
    <w:rsid w:val="00B3181B"/>
    <w:rsid w:val="00B44748"/>
    <w:rsid w:val="00B64D0A"/>
    <w:rsid w:val="00BA50B4"/>
    <w:rsid w:val="00BD3E37"/>
    <w:rsid w:val="00D52A50"/>
    <w:rsid w:val="00D54DC9"/>
    <w:rsid w:val="00D7585E"/>
    <w:rsid w:val="00E4176C"/>
    <w:rsid w:val="00E518B7"/>
    <w:rsid w:val="00EB6AD4"/>
    <w:rsid w:val="00F91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9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NVCC</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00945357</dc:creator>
  <cp:keywords/>
  <dc:description/>
  <cp:lastModifiedBy>00945357</cp:lastModifiedBy>
  <cp:revision>4</cp:revision>
  <dcterms:created xsi:type="dcterms:W3CDTF">2012-11-20T19:50:00Z</dcterms:created>
  <dcterms:modified xsi:type="dcterms:W3CDTF">2012-11-20T20:49:00Z</dcterms:modified>
</cp:coreProperties>
</file>