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2F440D" w:rsidRPr="009B6103" w:rsidRDefault="004479EC" w:rsidP="002F440D">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C75B0C" w:rsidRPr="00C75B0C">
        <w:rPr>
          <w:b/>
          <w:sz w:val="24"/>
          <w:szCs w:val="24"/>
          <w:highlight w:val="yellow"/>
        </w:rPr>
        <w:t>QUANTITATIVE REASONING</w:t>
      </w:r>
      <w:r w:rsidR="00C75B0C">
        <w:rPr>
          <w:sz w:val="24"/>
          <w:szCs w:val="24"/>
        </w:rPr>
        <w:t xml:space="preserve"> </w:t>
      </w:r>
      <w:r>
        <w:rPr>
          <w:sz w:val="24"/>
          <w:szCs w:val="24"/>
        </w:rPr>
        <w:t>(Goal:</w:t>
      </w:r>
      <w:r w:rsidR="002F440D" w:rsidRPr="002F440D">
        <w:rPr>
          <w:rFonts w:cs="Calibri"/>
          <w:sz w:val="24"/>
          <w:szCs w:val="24"/>
        </w:rPr>
        <w:t xml:space="preserve"> </w:t>
      </w:r>
      <w:r w:rsidR="002F440D" w:rsidRPr="009B6103">
        <w:rPr>
          <w:rFonts w:cs="Calibri"/>
          <w:sz w:val="24"/>
          <w:szCs w:val="24"/>
        </w:rPr>
        <w:t>Students will learn to</w:t>
      </w:r>
      <w:r w:rsidR="002F440D">
        <w:rPr>
          <w:rFonts w:cs="Calibri"/>
          <w:sz w:val="24"/>
          <w:szCs w:val="24"/>
        </w:rPr>
        <w:t xml:space="preserve"> </w:t>
      </w:r>
      <w:r w:rsidR="002F440D" w:rsidRPr="009B6103">
        <w:rPr>
          <w:rFonts w:cs="Calibri"/>
          <w:sz w:val="24"/>
          <w:szCs w:val="24"/>
        </w:rPr>
        <w:t>recognize, understand, and</w:t>
      </w:r>
      <w:r w:rsidR="002F440D">
        <w:rPr>
          <w:rFonts w:cs="Calibri"/>
          <w:sz w:val="24"/>
          <w:szCs w:val="24"/>
        </w:rPr>
        <w:t xml:space="preserve"> </w:t>
      </w:r>
      <w:r w:rsidR="002F440D" w:rsidRPr="009B6103">
        <w:rPr>
          <w:rFonts w:cs="Calibri"/>
          <w:sz w:val="24"/>
          <w:szCs w:val="24"/>
        </w:rPr>
        <w:t>use the quantitative elements</w:t>
      </w:r>
      <w:r w:rsidR="002F440D">
        <w:rPr>
          <w:rFonts w:cs="Calibri"/>
          <w:sz w:val="24"/>
          <w:szCs w:val="24"/>
        </w:rPr>
        <w:t xml:space="preserve"> </w:t>
      </w:r>
      <w:r w:rsidR="002F440D" w:rsidRPr="009B6103">
        <w:rPr>
          <w:rFonts w:cs="Calibri"/>
          <w:sz w:val="24"/>
          <w:szCs w:val="24"/>
        </w:rPr>
        <w:t>they encounter in various</w:t>
      </w:r>
      <w:r w:rsidR="002F440D">
        <w:rPr>
          <w:rFonts w:cs="Calibri"/>
          <w:sz w:val="24"/>
          <w:szCs w:val="24"/>
        </w:rPr>
        <w:t xml:space="preserve"> </w:t>
      </w:r>
      <w:r w:rsidR="002F440D" w:rsidRPr="009B6103">
        <w:rPr>
          <w:rFonts w:cs="Calibri"/>
          <w:sz w:val="24"/>
          <w:szCs w:val="24"/>
        </w:rPr>
        <w:t>aspects of their lives.</w:t>
      </w:r>
      <w:r w:rsidR="002F440D">
        <w:rPr>
          <w:rFonts w:cs="Calibri"/>
          <w:sz w:val="24"/>
          <w:szCs w:val="24"/>
        </w:rPr>
        <w:t xml:space="preserve"> </w:t>
      </w:r>
      <w:r w:rsidR="002F440D" w:rsidRPr="009B6103">
        <w:rPr>
          <w:rFonts w:cs="Calibri"/>
          <w:sz w:val="24"/>
          <w:szCs w:val="24"/>
        </w:rPr>
        <w:t>Students will develop a habit</w:t>
      </w:r>
      <w:r w:rsidR="002F440D">
        <w:rPr>
          <w:rFonts w:cs="Calibri"/>
          <w:sz w:val="24"/>
          <w:szCs w:val="24"/>
        </w:rPr>
        <w:t xml:space="preserve"> </w:t>
      </w:r>
      <w:r w:rsidR="002F440D" w:rsidRPr="009B6103">
        <w:rPr>
          <w:rFonts w:cs="Calibri"/>
          <w:sz w:val="24"/>
          <w:szCs w:val="24"/>
        </w:rPr>
        <w:t>of mind that uses quantitative</w:t>
      </w:r>
      <w:r w:rsidR="002F440D">
        <w:rPr>
          <w:rFonts w:cs="Calibri"/>
          <w:sz w:val="24"/>
          <w:szCs w:val="24"/>
        </w:rPr>
        <w:t xml:space="preserve"> </w:t>
      </w:r>
      <w:r w:rsidR="002F440D" w:rsidRPr="009B6103">
        <w:rPr>
          <w:rFonts w:cs="Calibri"/>
          <w:sz w:val="24"/>
          <w:szCs w:val="24"/>
        </w:rPr>
        <w:t>skills to solve problems and</w:t>
      </w:r>
      <w:r w:rsidR="002F440D">
        <w:rPr>
          <w:rFonts w:cs="Calibri"/>
          <w:sz w:val="24"/>
          <w:szCs w:val="24"/>
        </w:rPr>
        <w:t xml:space="preserve"> </w:t>
      </w:r>
      <w:r w:rsidR="002F440D" w:rsidRPr="009B6103">
        <w:rPr>
          <w:rFonts w:cs="Calibri"/>
          <w:sz w:val="24"/>
          <w:szCs w:val="24"/>
        </w:rPr>
        <w:t>make informed decisions.</w:t>
      </w:r>
      <w:r w:rsidR="002F440D">
        <w:rPr>
          <w:rFonts w:cs="Calibri"/>
          <w:sz w:val="24"/>
          <w:szCs w:val="24"/>
        </w:rPr>
        <w:t>)</w:t>
      </w:r>
    </w:p>
    <w:p w:rsidR="004479EC" w:rsidRPr="004479EC" w:rsidRDefault="004479EC" w:rsidP="004479EC">
      <w:pPr>
        <w:spacing w:after="0"/>
        <w:rPr>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C75B0C">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C75B0C"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2F440D" w:rsidRDefault="002F440D" w:rsidP="00B64D0A">
            <w:pPr>
              <w:autoSpaceDE w:val="0"/>
              <w:autoSpaceDN w:val="0"/>
              <w:adjustRightInd w:val="0"/>
              <w:rPr>
                <w:sz w:val="24"/>
                <w:szCs w:val="24"/>
              </w:rPr>
            </w:pPr>
          </w:p>
          <w:p w:rsidR="002F440D" w:rsidRDefault="002F440D" w:rsidP="002F440D">
            <w:pPr>
              <w:autoSpaceDE w:val="0"/>
              <w:autoSpaceDN w:val="0"/>
              <w:adjustRightInd w:val="0"/>
              <w:rPr>
                <w:rFonts w:cs="Calibri"/>
                <w:sz w:val="24"/>
                <w:szCs w:val="24"/>
              </w:rPr>
            </w:pPr>
            <w:r w:rsidRPr="009B6103">
              <w:rPr>
                <w:rFonts w:cs="Calibri"/>
                <w:sz w:val="24"/>
                <w:szCs w:val="24"/>
              </w:rPr>
              <w:t xml:space="preserve">1. Represent mathematical and quantitative information symbolically, </w:t>
            </w:r>
          </w:p>
          <w:p w:rsidR="002F440D" w:rsidRPr="009B6103" w:rsidRDefault="002F440D" w:rsidP="002F440D">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graphically</w:t>
            </w:r>
            <w:proofErr w:type="gramEnd"/>
            <w:r w:rsidRPr="009B6103">
              <w:rPr>
                <w:rFonts w:cs="Calibri"/>
                <w:sz w:val="24"/>
                <w:szCs w:val="24"/>
              </w:rPr>
              <w:t>, numerically, and verbally.</w:t>
            </w:r>
          </w:p>
          <w:p w:rsidR="002F440D" w:rsidRPr="004479EC" w:rsidRDefault="002F440D" w:rsidP="00B64D0A">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2F440D" w:rsidRDefault="002F440D" w:rsidP="002F440D">
            <w:pPr>
              <w:autoSpaceDE w:val="0"/>
              <w:autoSpaceDN w:val="0"/>
              <w:adjustRightInd w:val="0"/>
              <w:rPr>
                <w:rFonts w:cs="Calibri"/>
                <w:sz w:val="24"/>
                <w:szCs w:val="24"/>
              </w:rPr>
            </w:pPr>
          </w:p>
          <w:p w:rsidR="002F440D" w:rsidRDefault="002F440D" w:rsidP="002F440D">
            <w:pPr>
              <w:autoSpaceDE w:val="0"/>
              <w:autoSpaceDN w:val="0"/>
              <w:adjustRightInd w:val="0"/>
              <w:rPr>
                <w:rFonts w:cs="Calibri"/>
                <w:sz w:val="24"/>
                <w:szCs w:val="24"/>
              </w:rPr>
            </w:pPr>
            <w:r w:rsidRPr="009B6103">
              <w:rPr>
                <w:rFonts w:cs="Calibri"/>
                <w:sz w:val="24"/>
                <w:szCs w:val="24"/>
              </w:rPr>
              <w:t xml:space="preserve">2. Apply quantitative methods to investigate routine and novel </w:t>
            </w:r>
          </w:p>
          <w:p w:rsidR="002F440D" w:rsidRDefault="002F440D" w:rsidP="002F440D">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problems</w:t>
            </w:r>
            <w:proofErr w:type="gramEnd"/>
            <w:r w:rsidRPr="009B6103">
              <w:rPr>
                <w:rFonts w:cs="Calibri"/>
                <w:sz w:val="24"/>
                <w:szCs w:val="24"/>
              </w:rPr>
              <w:t>. This includes calculations/procedures,</w:t>
            </w:r>
            <w:r>
              <w:rPr>
                <w:rFonts w:cs="Calibri"/>
                <w:sz w:val="24"/>
                <w:szCs w:val="24"/>
              </w:rPr>
              <w:t xml:space="preserve"> </w:t>
            </w:r>
            <w:r w:rsidRPr="009B6103">
              <w:rPr>
                <w:rFonts w:cs="Calibri"/>
                <w:sz w:val="24"/>
                <w:szCs w:val="24"/>
              </w:rPr>
              <w:t xml:space="preserve">mathematical </w:t>
            </w:r>
          </w:p>
          <w:p w:rsidR="002F440D" w:rsidRPr="009B6103" w:rsidRDefault="002F440D" w:rsidP="002F440D">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and/or</w:t>
            </w:r>
            <w:proofErr w:type="gramEnd"/>
            <w:r w:rsidRPr="009B6103">
              <w:rPr>
                <w:rFonts w:cs="Calibri"/>
                <w:sz w:val="24"/>
                <w:szCs w:val="24"/>
              </w:rPr>
              <w:t xml:space="preserve"> statistical modeling, prediction, and evaluation.</w:t>
            </w:r>
          </w:p>
          <w:p w:rsidR="002F440D" w:rsidRPr="004479EC" w:rsidRDefault="002F440D" w:rsidP="004479EC">
            <w:pPr>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2F440D" w:rsidRDefault="002F440D" w:rsidP="002F440D">
            <w:pPr>
              <w:autoSpaceDE w:val="0"/>
              <w:autoSpaceDN w:val="0"/>
              <w:adjustRightInd w:val="0"/>
              <w:rPr>
                <w:rFonts w:cs="Calibri"/>
                <w:sz w:val="24"/>
                <w:szCs w:val="24"/>
              </w:rPr>
            </w:pPr>
          </w:p>
          <w:p w:rsidR="002F440D" w:rsidRDefault="002F440D" w:rsidP="002F440D">
            <w:pPr>
              <w:autoSpaceDE w:val="0"/>
              <w:autoSpaceDN w:val="0"/>
              <w:adjustRightInd w:val="0"/>
              <w:rPr>
                <w:rFonts w:cs="Calibri"/>
                <w:sz w:val="24"/>
                <w:szCs w:val="24"/>
              </w:rPr>
            </w:pPr>
            <w:r w:rsidRPr="009B6103">
              <w:rPr>
                <w:rFonts w:cs="Calibri"/>
                <w:sz w:val="24"/>
                <w:szCs w:val="24"/>
              </w:rPr>
              <w:t xml:space="preserve">3. Interpret mathematical and quantitative information and draw logical </w:t>
            </w:r>
          </w:p>
          <w:p w:rsidR="002F440D" w:rsidRDefault="002F440D" w:rsidP="002F440D">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inferences from representations such as</w:t>
            </w:r>
            <w:r>
              <w:rPr>
                <w:rFonts w:cs="Calibri"/>
                <w:sz w:val="24"/>
                <w:szCs w:val="24"/>
              </w:rPr>
              <w:t xml:space="preserve"> </w:t>
            </w:r>
            <w:r w:rsidRPr="009B6103">
              <w:rPr>
                <w:rFonts w:cs="Calibri"/>
                <w:sz w:val="24"/>
                <w:szCs w:val="24"/>
              </w:rPr>
              <w:t xml:space="preserve">formulas, equations, graphs, </w:t>
            </w:r>
          </w:p>
          <w:p w:rsidR="002F440D" w:rsidRPr="009B6103" w:rsidRDefault="002F440D" w:rsidP="002F440D">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tables</w:t>
            </w:r>
            <w:proofErr w:type="gramEnd"/>
            <w:r w:rsidRPr="009B6103">
              <w:rPr>
                <w:rFonts w:cs="Calibri"/>
                <w:sz w:val="24"/>
                <w:szCs w:val="24"/>
              </w:rPr>
              <w:t>, and schematics.</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2F440D" w:rsidRDefault="002F440D" w:rsidP="002F440D">
            <w:pPr>
              <w:autoSpaceDE w:val="0"/>
              <w:autoSpaceDN w:val="0"/>
              <w:adjustRightInd w:val="0"/>
              <w:rPr>
                <w:rFonts w:cs="Calibri"/>
                <w:sz w:val="24"/>
                <w:szCs w:val="24"/>
              </w:rPr>
            </w:pPr>
          </w:p>
          <w:p w:rsidR="002F440D" w:rsidRDefault="002F440D" w:rsidP="002F440D">
            <w:pPr>
              <w:autoSpaceDE w:val="0"/>
              <w:autoSpaceDN w:val="0"/>
              <w:adjustRightInd w:val="0"/>
              <w:rPr>
                <w:rFonts w:cs="Calibri"/>
                <w:sz w:val="24"/>
                <w:szCs w:val="24"/>
              </w:rPr>
            </w:pPr>
            <w:r w:rsidRPr="009B6103">
              <w:rPr>
                <w:rFonts w:cs="Calibri"/>
                <w:sz w:val="24"/>
                <w:szCs w:val="24"/>
              </w:rPr>
              <w:t xml:space="preserve">4. Evaluate the results obtained from quantitative methods for accuracy </w:t>
            </w:r>
          </w:p>
          <w:p w:rsidR="002F440D" w:rsidRPr="009B6103" w:rsidRDefault="002F440D" w:rsidP="002F440D">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and/or</w:t>
            </w:r>
            <w:proofErr w:type="gramEnd"/>
            <w:r w:rsidRPr="009B6103">
              <w:rPr>
                <w:rFonts w:cs="Calibri"/>
                <w:sz w:val="24"/>
                <w:szCs w:val="24"/>
              </w:rPr>
              <w:t xml:space="preserve"> reasonableness.</w:t>
            </w:r>
          </w:p>
          <w:p w:rsidR="00BD3E37" w:rsidRDefault="00BD3E37" w:rsidP="004479EC">
            <w:pPr>
              <w:rPr>
                <w:sz w:val="24"/>
                <w:szCs w:val="24"/>
              </w:rPr>
            </w:pPr>
          </w:p>
        </w:tc>
        <w:tc>
          <w:tcPr>
            <w:tcW w:w="7308" w:type="dxa"/>
          </w:tcPr>
          <w:p w:rsidR="005F7714" w:rsidRDefault="005F7714" w:rsidP="004479EC">
            <w:pPr>
              <w:rPr>
                <w:sz w:val="24"/>
                <w:szCs w:val="24"/>
              </w:rPr>
            </w:pPr>
          </w:p>
        </w:tc>
      </w:tr>
      <w:tr w:rsidR="00C75B0C" w:rsidRPr="004479EC" w:rsidTr="004479EC">
        <w:tc>
          <w:tcPr>
            <w:tcW w:w="7308" w:type="dxa"/>
          </w:tcPr>
          <w:p w:rsidR="00C75B0C" w:rsidRDefault="00C75B0C" w:rsidP="002F440D">
            <w:pPr>
              <w:autoSpaceDE w:val="0"/>
              <w:autoSpaceDN w:val="0"/>
              <w:adjustRightInd w:val="0"/>
              <w:rPr>
                <w:rFonts w:cs="Calibri"/>
                <w:sz w:val="24"/>
                <w:szCs w:val="24"/>
              </w:rPr>
            </w:pPr>
          </w:p>
          <w:p w:rsidR="00C75B0C" w:rsidRDefault="00C75B0C" w:rsidP="002F440D">
            <w:pPr>
              <w:autoSpaceDE w:val="0"/>
              <w:autoSpaceDN w:val="0"/>
              <w:adjustRightInd w:val="0"/>
              <w:rPr>
                <w:rFonts w:cs="Calibri"/>
                <w:sz w:val="24"/>
                <w:szCs w:val="24"/>
              </w:rPr>
            </w:pPr>
          </w:p>
          <w:p w:rsidR="00C75B0C" w:rsidRDefault="00C75B0C" w:rsidP="002F440D">
            <w:pPr>
              <w:autoSpaceDE w:val="0"/>
              <w:autoSpaceDN w:val="0"/>
              <w:adjustRightInd w:val="0"/>
              <w:rPr>
                <w:rFonts w:cs="Calibri"/>
                <w:sz w:val="24"/>
                <w:szCs w:val="24"/>
              </w:rPr>
            </w:pPr>
          </w:p>
          <w:p w:rsidR="00C75B0C" w:rsidRDefault="00C75B0C" w:rsidP="002F440D">
            <w:pPr>
              <w:autoSpaceDE w:val="0"/>
              <w:autoSpaceDN w:val="0"/>
              <w:adjustRightInd w:val="0"/>
              <w:rPr>
                <w:rFonts w:cs="Calibri"/>
                <w:sz w:val="24"/>
                <w:szCs w:val="24"/>
              </w:rPr>
            </w:pPr>
          </w:p>
        </w:tc>
        <w:tc>
          <w:tcPr>
            <w:tcW w:w="7308" w:type="dxa"/>
          </w:tcPr>
          <w:p w:rsidR="00C75B0C" w:rsidRDefault="00C75B0C" w:rsidP="00C75B0C">
            <w:pPr>
              <w:rPr>
                <w:b/>
                <w:i/>
                <w:sz w:val="24"/>
                <w:szCs w:val="24"/>
              </w:rPr>
            </w:pPr>
          </w:p>
          <w:p w:rsidR="00C75B0C" w:rsidRDefault="00C75B0C" w:rsidP="00C75B0C">
            <w:pPr>
              <w:rPr>
                <w:b/>
                <w:i/>
                <w:sz w:val="24"/>
                <w:szCs w:val="24"/>
              </w:rPr>
            </w:pPr>
            <w:r w:rsidRPr="00152951">
              <w:rPr>
                <w:b/>
                <w:i/>
                <w:sz w:val="24"/>
                <w:szCs w:val="24"/>
              </w:rPr>
              <w:t>Additional Outcomes</w:t>
            </w:r>
          </w:p>
          <w:p w:rsidR="00C75B0C" w:rsidRDefault="00C75B0C" w:rsidP="004479EC">
            <w:pPr>
              <w:rPr>
                <w:sz w:val="24"/>
                <w:szCs w:val="24"/>
              </w:rPr>
            </w:pPr>
          </w:p>
          <w:p w:rsidR="00C75B0C" w:rsidRDefault="00C75B0C" w:rsidP="004479EC">
            <w:pPr>
              <w:rPr>
                <w:sz w:val="24"/>
                <w:szCs w:val="24"/>
              </w:rPr>
            </w:pPr>
          </w:p>
          <w:p w:rsidR="00C75B0C" w:rsidRDefault="00C75B0C"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52951"/>
    <w:rsid w:val="00257C65"/>
    <w:rsid w:val="002C4754"/>
    <w:rsid w:val="002F4322"/>
    <w:rsid w:val="002F440D"/>
    <w:rsid w:val="004479EC"/>
    <w:rsid w:val="004F563C"/>
    <w:rsid w:val="005F7714"/>
    <w:rsid w:val="00A773C7"/>
    <w:rsid w:val="00AE651D"/>
    <w:rsid w:val="00B44748"/>
    <w:rsid w:val="00B64D0A"/>
    <w:rsid w:val="00BD3E37"/>
    <w:rsid w:val="00C75B0C"/>
    <w:rsid w:val="00D7585E"/>
    <w:rsid w:val="00E5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5</cp:revision>
  <dcterms:created xsi:type="dcterms:W3CDTF">2012-11-20T19:20:00Z</dcterms:created>
  <dcterms:modified xsi:type="dcterms:W3CDTF">2012-11-20T20:35:00Z</dcterms:modified>
</cp:coreProperties>
</file>